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B7B78" w14:textId="77777777" w:rsidR="00781033" w:rsidRDefault="00A257C0">
      <w:pPr>
        <w:spacing w:after="160" w:line="259" w:lineRule="auto"/>
        <w:jc w:val="right"/>
        <w:rPr>
          <w:sz w:val="52"/>
          <w:szCs w:val="52"/>
        </w:rPr>
      </w:pPr>
      <w:bookmarkStart w:id="0" w:name="_Hlk482102637"/>
      <w:bookmarkEnd w:id="0"/>
      <w:r>
        <w:rPr>
          <w:rFonts w:ascii="Arial" w:eastAsia="Arial" w:hAnsi="Arial" w:cs="Arial"/>
          <w:sz w:val="52"/>
          <w:szCs w:val="52"/>
        </w:rPr>
        <w:t>Press Release</w:t>
      </w:r>
    </w:p>
    <w:p w14:paraId="0B4C6591" w14:textId="77777777" w:rsidR="00781033" w:rsidRDefault="00A257C0">
      <w:r>
        <w:rPr>
          <w:rFonts w:ascii="Arial" w:eastAsia="Arial" w:hAnsi="Arial" w:cs="Arial"/>
          <w:b/>
          <w:bCs/>
        </w:rPr>
        <w:t xml:space="preserve">August </w:t>
      </w:r>
      <w:r w:rsidR="00024144">
        <w:rPr>
          <w:rFonts w:ascii="Arial" w:eastAsia="Arial" w:hAnsi="Arial" w:cs="Arial"/>
          <w:b/>
          <w:bCs/>
        </w:rPr>
        <w:t>30</w:t>
      </w:r>
      <w:r>
        <w:rPr>
          <w:rFonts w:ascii="Arial" w:eastAsia="Arial" w:hAnsi="Arial" w:cs="Arial"/>
          <w:b/>
          <w:bCs/>
        </w:rPr>
        <w:t>, 2018</w:t>
      </w:r>
    </w:p>
    <w:p w14:paraId="0CE11D48" w14:textId="77777777" w:rsidR="00781033" w:rsidRDefault="00781033"/>
    <w:p w14:paraId="332D1013" w14:textId="77777777" w:rsidR="00781033" w:rsidRDefault="00A257C0">
      <w:pPr>
        <w:rPr>
          <w:sz w:val="28"/>
          <w:szCs w:val="28"/>
        </w:rPr>
      </w:pPr>
      <w:bookmarkStart w:id="1" w:name="_Hlk522026924"/>
      <w:r>
        <w:rPr>
          <w:rFonts w:ascii="Arial" w:eastAsia="Arial" w:hAnsi="Arial" w:cs="Arial"/>
          <w:b/>
          <w:bCs/>
          <w:sz w:val="28"/>
          <w:szCs w:val="28"/>
        </w:rPr>
        <w:t xml:space="preserve">Mayor Martin J. Walsh Joins Skanska to Celebrate the Grand Opening of Harbor Way </w:t>
      </w:r>
    </w:p>
    <w:p w14:paraId="62CE763A" w14:textId="3AC69AE8" w:rsidR="00781033" w:rsidRDefault="00A257C0">
      <w:r>
        <w:rPr>
          <w:rFonts w:ascii="Arial" w:eastAsia="Arial" w:hAnsi="Arial" w:cs="Arial"/>
          <w:i/>
          <w:iCs/>
        </w:rPr>
        <w:t xml:space="preserve">Developer opens public amenity to honor the Seaport’s history along Boston’s </w:t>
      </w:r>
      <w:r w:rsidR="00A3500D">
        <w:rPr>
          <w:rFonts w:ascii="Arial" w:eastAsia="Arial" w:hAnsi="Arial" w:cs="Arial"/>
          <w:i/>
          <w:iCs/>
        </w:rPr>
        <w:t>m</w:t>
      </w:r>
      <w:r>
        <w:rPr>
          <w:rFonts w:ascii="Arial" w:eastAsia="Arial" w:hAnsi="Arial" w:cs="Arial"/>
          <w:i/>
          <w:iCs/>
        </w:rPr>
        <w:t xml:space="preserve">ost </w:t>
      </w:r>
      <w:r w:rsidR="00A3500D">
        <w:rPr>
          <w:rFonts w:ascii="Arial" w:eastAsia="Arial" w:hAnsi="Arial" w:cs="Arial"/>
          <w:i/>
          <w:iCs/>
        </w:rPr>
        <w:t>s</w:t>
      </w:r>
      <w:r>
        <w:rPr>
          <w:rFonts w:ascii="Arial" w:eastAsia="Arial" w:hAnsi="Arial" w:cs="Arial"/>
          <w:i/>
          <w:iCs/>
        </w:rPr>
        <w:t xml:space="preserve">ustainable </w:t>
      </w:r>
      <w:r w:rsidR="00A3500D">
        <w:rPr>
          <w:rFonts w:ascii="Arial" w:eastAsia="Arial" w:hAnsi="Arial" w:cs="Arial"/>
          <w:i/>
          <w:iCs/>
        </w:rPr>
        <w:t>b</w:t>
      </w:r>
      <w:r>
        <w:rPr>
          <w:rFonts w:ascii="Arial" w:eastAsia="Arial" w:hAnsi="Arial" w:cs="Arial"/>
          <w:i/>
          <w:iCs/>
        </w:rPr>
        <w:t>lock</w:t>
      </w:r>
    </w:p>
    <w:p w14:paraId="099847F6" w14:textId="77777777" w:rsidR="00923DCE" w:rsidRDefault="00923DCE">
      <w:pPr>
        <w:spacing w:after="160" w:line="259" w:lineRule="auto"/>
        <w:rPr>
          <w:rFonts w:ascii="Arial" w:eastAsia="Arial" w:hAnsi="Arial" w:cs="Arial"/>
          <w:b/>
          <w:bCs/>
        </w:rPr>
      </w:pPr>
      <w:bookmarkStart w:id="2" w:name="_Hlk482348495"/>
      <w:bookmarkEnd w:id="1"/>
    </w:p>
    <w:p w14:paraId="259A7A4B" w14:textId="694BE152" w:rsidR="00781033" w:rsidRDefault="00A257C0">
      <w:pPr>
        <w:spacing w:after="160" w:line="259" w:lineRule="auto"/>
      </w:pPr>
      <w:r>
        <w:rPr>
          <w:rFonts w:ascii="Arial" w:eastAsia="Arial" w:hAnsi="Arial" w:cs="Arial"/>
          <w:b/>
          <w:bCs/>
        </w:rPr>
        <w:t>BOSTON</w:t>
      </w:r>
      <w:r>
        <w:rPr>
          <w:rFonts w:ascii="Arial" w:eastAsia="Arial" w:hAnsi="Arial" w:cs="Arial"/>
        </w:rPr>
        <w:t xml:space="preserve"> </w:t>
      </w:r>
      <w:r>
        <w:rPr>
          <w:rFonts w:ascii="Arial" w:eastAsia="Arial" w:hAnsi="Arial" w:cs="Arial"/>
          <w:b/>
          <w:bCs/>
        </w:rPr>
        <w:t>–</w:t>
      </w:r>
      <w:r w:rsidR="00925CEF">
        <w:rPr>
          <w:rFonts w:ascii="Arial" w:eastAsia="Arial" w:hAnsi="Arial" w:cs="Arial"/>
          <w:b/>
          <w:bCs/>
        </w:rPr>
        <w:t xml:space="preserve"> </w:t>
      </w:r>
      <w:r>
        <w:rPr>
          <w:rFonts w:ascii="Arial" w:eastAsia="Arial" w:hAnsi="Arial" w:cs="Arial"/>
        </w:rPr>
        <w:t xml:space="preserve">Mayor Martin J. Walsh joined construction and development firm </w:t>
      </w:r>
      <w:hyperlink r:id="rId7" w:history="1">
        <w:r>
          <w:rPr>
            <w:rFonts w:ascii="Arial" w:eastAsia="Arial" w:hAnsi="Arial" w:cs="Arial"/>
            <w:color w:val="0563C1"/>
            <w:u w:val="single" w:color="0563C1"/>
          </w:rPr>
          <w:t>Skanska</w:t>
        </w:r>
      </w:hyperlink>
      <w:r>
        <w:rPr>
          <w:rFonts w:ascii="Arial" w:eastAsia="Arial" w:hAnsi="Arial" w:cs="Arial"/>
        </w:rPr>
        <w:t>, and members of the Seaport community</w:t>
      </w:r>
      <w:r w:rsidR="005A3A41">
        <w:rPr>
          <w:rFonts w:ascii="Arial" w:eastAsia="Arial" w:hAnsi="Arial" w:cs="Arial"/>
        </w:rPr>
        <w:t xml:space="preserve"> today</w:t>
      </w:r>
      <w:r>
        <w:rPr>
          <w:rFonts w:ascii="Arial" w:eastAsia="Arial" w:hAnsi="Arial" w:cs="Arial"/>
        </w:rPr>
        <w:t xml:space="preserve"> for a public block party event to celebrate the grand opening of Harbor Way, a 70-foot </w:t>
      </w:r>
      <w:r w:rsidR="0052568C">
        <w:rPr>
          <w:rFonts w:ascii="Arial" w:eastAsia="Arial" w:hAnsi="Arial" w:cs="Arial"/>
        </w:rPr>
        <w:t xml:space="preserve">wide </w:t>
      </w:r>
      <w:r>
        <w:rPr>
          <w:rFonts w:ascii="Arial" w:eastAsia="Arial" w:hAnsi="Arial" w:cs="Arial"/>
        </w:rPr>
        <w:t xml:space="preserve">pedestrian promenade with 20,000 square feet of tree-lined open space and retail between Skanska’s </w:t>
      </w:r>
      <w:hyperlink r:id="rId8" w:history="1">
        <w:r>
          <w:rPr>
            <w:rFonts w:ascii="Arial" w:eastAsia="Arial" w:hAnsi="Arial" w:cs="Arial"/>
            <w:color w:val="0563C1"/>
            <w:u w:val="single" w:color="0563C1"/>
          </w:rPr>
          <w:t>101</w:t>
        </w:r>
      </w:hyperlink>
      <w:r w:rsidR="00DA6C25">
        <w:rPr>
          <w:rFonts w:ascii="Arial" w:eastAsia="Arial" w:hAnsi="Arial" w:cs="Arial"/>
          <w:color w:val="0563C1"/>
          <w:u w:val="single" w:color="0563C1"/>
        </w:rPr>
        <w:t xml:space="preserve"> Seaport</w:t>
      </w:r>
      <w:r>
        <w:rPr>
          <w:rFonts w:ascii="Arial" w:eastAsia="Arial" w:hAnsi="Arial" w:cs="Arial"/>
        </w:rPr>
        <w:t xml:space="preserve"> and </w:t>
      </w:r>
      <w:hyperlink r:id="rId9" w:history="1">
        <w:r>
          <w:rPr>
            <w:rFonts w:ascii="Arial" w:eastAsia="Arial" w:hAnsi="Arial" w:cs="Arial"/>
            <w:color w:val="0563C1"/>
            <w:u w:val="single" w:color="0563C1"/>
          </w:rPr>
          <w:t>121 Seaport</w:t>
        </w:r>
      </w:hyperlink>
      <w:r>
        <w:rPr>
          <w:rFonts w:ascii="Arial" w:eastAsia="Arial" w:hAnsi="Arial" w:cs="Arial"/>
        </w:rPr>
        <w:t xml:space="preserve"> office developments. To commemorate Skanska’s #SeaportShipwreck discovery during the construction of 121 Seaport</w:t>
      </w:r>
      <w:r w:rsidR="00DA6C25">
        <w:rPr>
          <w:rFonts w:ascii="Arial" w:eastAsia="Arial" w:hAnsi="Arial" w:cs="Arial"/>
        </w:rPr>
        <w:t xml:space="preserve"> and the rich industrial history of the neighborhood</w:t>
      </w:r>
      <w:r>
        <w:rPr>
          <w:rFonts w:ascii="Arial" w:eastAsia="Arial" w:hAnsi="Arial" w:cs="Arial"/>
        </w:rPr>
        <w:t xml:space="preserve">, Harbor Way features an interactive walking museum that includes </w:t>
      </w:r>
      <w:r w:rsidR="00DA6C25">
        <w:rPr>
          <w:rFonts w:ascii="Arial" w:eastAsia="Arial" w:hAnsi="Arial" w:cs="Arial"/>
        </w:rPr>
        <w:t xml:space="preserve">a digital library of historical photos, maps, and information, and a phone app with </w:t>
      </w:r>
      <w:r>
        <w:rPr>
          <w:rFonts w:ascii="Arial" w:eastAsia="Arial" w:hAnsi="Arial" w:cs="Arial"/>
        </w:rPr>
        <w:t xml:space="preserve">augmented reality (AR) </w:t>
      </w:r>
      <w:r w:rsidR="00DA6C25">
        <w:rPr>
          <w:rFonts w:ascii="Arial" w:eastAsia="Arial" w:hAnsi="Arial" w:cs="Arial"/>
        </w:rPr>
        <w:t>functionality</w:t>
      </w:r>
      <w:r>
        <w:rPr>
          <w:rFonts w:ascii="Arial" w:eastAsia="Arial" w:hAnsi="Arial" w:cs="Arial"/>
        </w:rPr>
        <w:t xml:space="preserve">. </w:t>
      </w:r>
    </w:p>
    <w:p w14:paraId="32526650" w14:textId="23572829" w:rsidR="00781033" w:rsidRPr="007B6805" w:rsidRDefault="00A257C0">
      <w:pPr>
        <w:spacing w:after="160" w:line="259" w:lineRule="auto"/>
        <w:rPr>
          <w:rFonts w:ascii="Arial" w:eastAsia="Arial" w:hAnsi="Arial" w:cs="Arial"/>
        </w:rPr>
      </w:pPr>
      <w:r>
        <w:rPr>
          <w:rFonts w:ascii="Arial" w:eastAsia="Arial" w:hAnsi="Arial" w:cs="Arial"/>
        </w:rPr>
        <w:t xml:space="preserve">The event also celebrated Skanska’s rounding off of Boston’s most sustainable block with the completion of </w:t>
      </w:r>
      <w:hyperlink r:id="rId10" w:history="1">
        <w:r>
          <w:rPr>
            <w:rFonts w:ascii="Arial" w:eastAsia="Arial" w:hAnsi="Arial" w:cs="Arial"/>
            <w:color w:val="0563C1"/>
            <w:u w:val="single" w:color="0563C1"/>
          </w:rPr>
          <w:t>121 Seaport</w:t>
        </w:r>
      </w:hyperlink>
      <w:r>
        <w:rPr>
          <w:rFonts w:ascii="Arial" w:eastAsia="Arial" w:hAnsi="Arial" w:cs="Arial"/>
        </w:rPr>
        <w:t>. 121 Seaport is a 17-story, 400,000 square foot, Class-A, LEED</w:t>
      </w:r>
      <w:r>
        <w:rPr>
          <w:rFonts w:ascii="Arial" w:eastAsia="Arial" w:hAnsi="Arial" w:cs="Arial"/>
          <w:vertAlign w:val="superscript"/>
        </w:rPr>
        <w:t>®</w:t>
      </w:r>
      <w:r>
        <w:rPr>
          <w:rFonts w:ascii="Arial" w:eastAsia="Arial" w:hAnsi="Arial" w:cs="Arial"/>
        </w:rPr>
        <w:t xml:space="preserve"> Platinum office building, which is 100 percent leased to </w:t>
      </w:r>
      <w:hyperlink r:id="rId11" w:history="1">
        <w:r>
          <w:rPr>
            <w:rFonts w:ascii="Arial" w:eastAsia="Arial" w:hAnsi="Arial" w:cs="Arial"/>
            <w:color w:val="0563C1"/>
            <w:u w:val="single" w:color="0563C1"/>
          </w:rPr>
          <w:t>PTC</w:t>
        </w:r>
      </w:hyperlink>
      <w:r>
        <w:rPr>
          <w:rFonts w:ascii="Arial" w:eastAsia="Arial" w:hAnsi="Arial" w:cs="Arial"/>
        </w:rPr>
        <w:t xml:space="preserve"> and </w:t>
      </w:r>
      <w:hyperlink r:id="rId12" w:history="1">
        <w:r>
          <w:rPr>
            <w:rFonts w:ascii="Arial" w:eastAsia="Arial" w:hAnsi="Arial" w:cs="Arial"/>
            <w:color w:val="0563C1"/>
            <w:u w:val="single" w:color="0563C1"/>
          </w:rPr>
          <w:t>Alexion Pharmaceuticals</w:t>
        </w:r>
      </w:hyperlink>
      <w:r>
        <w:rPr>
          <w:rFonts w:ascii="Arial" w:eastAsia="Arial" w:hAnsi="Arial" w:cs="Arial"/>
        </w:rPr>
        <w:t>.</w:t>
      </w:r>
      <w:r w:rsidR="00DA6C25">
        <w:rPr>
          <w:rFonts w:ascii="Arial" w:eastAsia="Arial" w:hAnsi="Arial" w:cs="Arial"/>
        </w:rPr>
        <w:t xml:space="preserve"> </w:t>
      </w:r>
      <w:r w:rsidR="007B6805" w:rsidRPr="007B6805">
        <w:rPr>
          <w:rFonts w:ascii="Arial" w:eastAsia="Arial" w:hAnsi="Arial" w:cs="Arial"/>
        </w:rPr>
        <w:t xml:space="preserve">The office tower, designed by </w:t>
      </w:r>
      <w:hyperlink r:id="rId13" w:history="1">
        <w:r w:rsidR="007B6805" w:rsidRPr="007B6805">
          <w:rPr>
            <w:rStyle w:val="Hyperlink"/>
            <w:rFonts w:ascii="Arial" w:eastAsia="Arial" w:hAnsi="Arial" w:cs="Arial"/>
          </w:rPr>
          <w:t>CBT</w:t>
        </w:r>
      </w:hyperlink>
      <w:r w:rsidR="007B6805" w:rsidRPr="007B6805">
        <w:rPr>
          <w:rFonts w:ascii="Arial" w:eastAsia="Arial" w:hAnsi="Arial" w:cs="Arial"/>
        </w:rPr>
        <w:t xml:space="preserve">, sits above two stories totaling 50,000-square-feet of world-class retail that will come online in 2019. This block is also home to Skanska’s 101 Seaport and Watermark Seaport developments. </w:t>
      </w:r>
      <w:bookmarkStart w:id="3" w:name="_GoBack"/>
      <w:bookmarkEnd w:id="3"/>
    </w:p>
    <w:p w14:paraId="7FAB1D5C" w14:textId="77777777" w:rsidR="00923DCE" w:rsidRPr="00923DCE" w:rsidRDefault="00923DCE" w:rsidP="00923DCE">
      <w:pPr>
        <w:spacing w:after="160" w:line="259" w:lineRule="auto"/>
        <w:rPr>
          <w:rFonts w:ascii="Arial" w:eastAsia="Arial" w:hAnsi="Arial" w:cs="Arial"/>
        </w:rPr>
      </w:pPr>
      <w:r w:rsidRPr="00923DCE">
        <w:rPr>
          <w:rFonts w:ascii="Arial" w:eastAsia="Arial" w:hAnsi="Arial" w:cs="Arial"/>
        </w:rPr>
        <w:t>"The opening of Harbor Way creates another accessible open space in the Seaport for residents and visitors to enjoy," said Mayor Martin J. Walsh. "As the neighborhood continues to evolve, the walking museum helps preserve the important history of Boston's waterfront."  </w:t>
      </w:r>
    </w:p>
    <w:p w14:paraId="155AFF32" w14:textId="62924609" w:rsidR="00781033" w:rsidRDefault="00923DCE" w:rsidP="00923DCE">
      <w:pPr>
        <w:spacing w:after="160" w:line="259" w:lineRule="auto"/>
      </w:pPr>
      <w:r w:rsidRPr="00923DCE">
        <w:rPr>
          <w:rFonts w:ascii="Arial" w:eastAsia="Arial" w:hAnsi="Arial" w:cs="Arial"/>
        </w:rPr>
        <w:t xml:space="preserve"> </w:t>
      </w:r>
      <w:r w:rsidR="00A257C0">
        <w:rPr>
          <w:rFonts w:ascii="Arial" w:eastAsia="Arial" w:hAnsi="Arial" w:cs="Arial"/>
        </w:rPr>
        <w:t>“With each development we deliver, we aim to contribute to the public realm in a sustainable manner that respects the neighborhood in which we are working. In this case, we are honoring the Seaport’s history with a public amenity, while reflecting the spirit of the Innovation District with a</w:t>
      </w:r>
      <w:r w:rsidR="00DA6C25">
        <w:rPr>
          <w:rFonts w:ascii="Arial" w:eastAsia="Arial" w:hAnsi="Arial" w:cs="Arial"/>
        </w:rPr>
        <w:t xml:space="preserve"> digital library and</w:t>
      </w:r>
      <w:r w:rsidR="00A257C0">
        <w:rPr>
          <w:rFonts w:ascii="Arial" w:eastAsia="Arial" w:hAnsi="Arial" w:cs="Arial"/>
        </w:rPr>
        <w:t xml:space="preserve"> AR </w:t>
      </w:r>
      <w:r w:rsidR="00DA6C25">
        <w:rPr>
          <w:rFonts w:ascii="Arial" w:eastAsia="Arial" w:hAnsi="Arial" w:cs="Arial"/>
        </w:rPr>
        <w:t>app</w:t>
      </w:r>
      <w:r w:rsidR="00A257C0">
        <w:rPr>
          <w:rFonts w:ascii="Arial" w:eastAsia="Arial" w:hAnsi="Arial" w:cs="Arial"/>
        </w:rPr>
        <w:t>,” said Charley Leatherbee, leader of Skanska’s Commercial Development operations in Boston. “The Seaport’s development has been a great success and we are proud to be a large contributor.”</w:t>
      </w:r>
    </w:p>
    <w:p w14:paraId="5EFCE187" w14:textId="331137EA" w:rsidR="00781033" w:rsidRDefault="00A257C0">
      <w:pPr>
        <w:spacing w:after="160" w:line="259" w:lineRule="auto"/>
        <w:rPr>
          <w:rFonts w:ascii="Arial" w:eastAsia="Arial" w:hAnsi="Arial" w:cs="Arial"/>
        </w:rPr>
      </w:pPr>
      <w:r>
        <w:rPr>
          <w:rFonts w:ascii="Arial" w:eastAsia="Arial" w:hAnsi="Arial" w:cs="Arial"/>
        </w:rPr>
        <w:t xml:space="preserve">At the event, guests </w:t>
      </w:r>
      <w:r w:rsidR="00D22DA8">
        <w:rPr>
          <w:rFonts w:ascii="Arial" w:eastAsia="Arial" w:hAnsi="Arial" w:cs="Arial"/>
        </w:rPr>
        <w:t xml:space="preserve">explored </w:t>
      </w:r>
      <w:r>
        <w:rPr>
          <w:rFonts w:ascii="Arial" w:eastAsia="Arial" w:hAnsi="Arial" w:cs="Arial"/>
        </w:rPr>
        <w:t xml:space="preserve">Harbor Way while enjoying </w:t>
      </w:r>
      <w:r w:rsidR="00D22DA8">
        <w:rPr>
          <w:rFonts w:ascii="Arial" w:eastAsia="Arial" w:hAnsi="Arial" w:cs="Arial"/>
        </w:rPr>
        <w:t xml:space="preserve">samples from surrounding local retailers. </w:t>
      </w:r>
      <w:r>
        <w:rPr>
          <w:rFonts w:ascii="Arial" w:eastAsia="Arial" w:hAnsi="Arial" w:cs="Arial"/>
        </w:rPr>
        <w:t xml:space="preserve">WS Development, </w:t>
      </w:r>
      <w:r w:rsidR="00377EE5">
        <w:rPr>
          <w:rFonts w:ascii="Arial" w:eastAsia="Arial" w:hAnsi="Arial" w:cs="Arial"/>
        </w:rPr>
        <w:t xml:space="preserve">master </w:t>
      </w:r>
      <w:r>
        <w:rPr>
          <w:rFonts w:ascii="Arial" w:eastAsia="Arial" w:hAnsi="Arial" w:cs="Arial"/>
        </w:rPr>
        <w:t xml:space="preserve">developer </w:t>
      </w:r>
      <w:r w:rsidR="00377EE5">
        <w:rPr>
          <w:rFonts w:ascii="Arial" w:eastAsia="Arial" w:hAnsi="Arial" w:cs="Arial"/>
        </w:rPr>
        <w:t xml:space="preserve">of </w:t>
      </w:r>
      <w:r>
        <w:rPr>
          <w:rFonts w:ascii="Arial" w:eastAsia="Arial" w:hAnsi="Arial" w:cs="Arial"/>
        </w:rPr>
        <w:t>Seaport Square</w:t>
      </w:r>
      <w:r w:rsidR="00377EE5">
        <w:rPr>
          <w:rFonts w:ascii="Arial" w:eastAsia="Arial" w:hAnsi="Arial" w:cs="Arial"/>
        </w:rPr>
        <w:t xml:space="preserve"> and owner of the retail bordering Harbor Way</w:t>
      </w:r>
      <w:r w:rsidR="00D22DA8">
        <w:rPr>
          <w:rFonts w:ascii="Arial" w:eastAsia="Arial" w:hAnsi="Arial" w:cs="Arial"/>
        </w:rPr>
        <w:t xml:space="preserve">, </w:t>
      </w:r>
      <w:r>
        <w:rPr>
          <w:rFonts w:ascii="Arial" w:eastAsia="Arial" w:hAnsi="Arial" w:cs="Arial"/>
        </w:rPr>
        <w:t xml:space="preserve">plans to </w:t>
      </w:r>
      <w:r w:rsidR="00D22DA8">
        <w:rPr>
          <w:rFonts w:ascii="Arial" w:eastAsia="Arial" w:hAnsi="Arial" w:cs="Arial"/>
        </w:rPr>
        <w:t xml:space="preserve">extend </w:t>
      </w:r>
      <w:r w:rsidR="00377EE5">
        <w:rPr>
          <w:rFonts w:ascii="Arial" w:eastAsia="Arial" w:hAnsi="Arial" w:cs="Arial"/>
        </w:rPr>
        <w:t>the community space</w:t>
      </w:r>
      <w:r w:rsidR="00D22DA8">
        <w:rPr>
          <w:rFonts w:ascii="Arial" w:eastAsia="Arial" w:hAnsi="Arial" w:cs="Arial"/>
        </w:rPr>
        <w:t xml:space="preserve"> </w:t>
      </w:r>
      <w:r w:rsidR="00377EE5">
        <w:rPr>
          <w:rFonts w:ascii="Arial" w:eastAsia="Arial" w:hAnsi="Arial" w:cs="Arial"/>
        </w:rPr>
        <w:t>north to Seaport Common and the water</w:t>
      </w:r>
      <w:r w:rsidR="00DD7E3F">
        <w:rPr>
          <w:rFonts w:ascii="Arial" w:eastAsia="Arial" w:hAnsi="Arial" w:cs="Arial"/>
        </w:rPr>
        <w:t>,</w:t>
      </w:r>
      <w:r w:rsidR="00377EE5">
        <w:rPr>
          <w:rFonts w:ascii="Arial" w:eastAsia="Arial" w:hAnsi="Arial" w:cs="Arial"/>
        </w:rPr>
        <w:t xml:space="preserve"> and south to </w:t>
      </w:r>
      <w:r w:rsidR="00D22DA8">
        <w:rPr>
          <w:rFonts w:ascii="Arial" w:eastAsia="Arial" w:hAnsi="Arial" w:cs="Arial"/>
        </w:rPr>
        <w:t xml:space="preserve">Summer Street by way of </w:t>
      </w:r>
      <w:r w:rsidR="00DD7E3F">
        <w:rPr>
          <w:rFonts w:ascii="Arial" w:eastAsia="Arial" w:hAnsi="Arial" w:cs="Arial"/>
        </w:rPr>
        <w:t xml:space="preserve">a continuous open </w:t>
      </w:r>
      <w:r>
        <w:rPr>
          <w:rFonts w:ascii="Arial" w:eastAsia="Arial" w:hAnsi="Arial" w:cs="Arial"/>
        </w:rPr>
        <w:t>pedestrian promenade</w:t>
      </w:r>
      <w:r w:rsidR="00D22DA8">
        <w:rPr>
          <w:rFonts w:ascii="Arial" w:eastAsia="Arial" w:hAnsi="Arial" w:cs="Arial"/>
        </w:rPr>
        <w:t>.</w:t>
      </w:r>
      <w:r>
        <w:rPr>
          <w:rFonts w:ascii="Arial" w:eastAsia="Arial" w:hAnsi="Arial" w:cs="Arial"/>
        </w:rPr>
        <w:t xml:space="preserve"> </w:t>
      </w:r>
    </w:p>
    <w:p w14:paraId="2664D302" w14:textId="7417D093" w:rsidR="00781033" w:rsidRDefault="00A257C0" w:rsidP="00912754">
      <w:pPr>
        <w:spacing w:before="240" w:after="160" w:line="259" w:lineRule="auto"/>
      </w:pPr>
      <w:r>
        <w:rPr>
          <w:rFonts w:ascii="Arial" w:eastAsia="Arial" w:hAnsi="Arial" w:cs="Arial"/>
          <w:b/>
          <w:bCs/>
        </w:rPr>
        <w:lastRenderedPageBreak/>
        <w:t xml:space="preserve">More about Harbor Way and its Interactive Walking Museum </w:t>
      </w:r>
    </w:p>
    <w:p w14:paraId="04FFBAD6" w14:textId="77777777" w:rsidR="00781033" w:rsidRDefault="00A257C0">
      <w:pPr>
        <w:spacing w:after="160" w:line="259" w:lineRule="auto"/>
      </w:pPr>
      <w:r>
        <w:rPr>
          <w:rFonts w:ascii="Arial" w:eastAsia="Arial" w:hAnsi="Arial" w:cs="Arial"/>
        </w:rPr>
        <w:t xml:space="preserve">Harbor Way’s interactive walking museum highlights milestones from past centuries through Skanska’s 2016 discovery of the </w:t>
      </w:r>
      <w:hyperlink r:id="rId14" w:history="1">
        <w:r>
          <w:rPr>
            <w:rFonts w:ascii="Arial" w:eastAsia="Arial" w:hAnsi="Arial" w:cs="Arial"/>
            <w:color w:val="0563C1"/>
            <w:u w:val="single" w:color="0563C1"/>
          </w:rPr>
          <w:t>#SeaportShipwreck</w:t>
        </w:r>
      </w:hyperlink>
      <w:r>
        <w:rPr>
          <w:rFonts w:ascii="Arial" w:eastAsia="Arial" w:hAnsi="Arial" w:cs="Arial"/>
          <w:color w:val="0563C1"/>
          <w:u w:val="single" w:color="0563C1"/>
        </w:rPr>
        <w:t xml:space="preserve"> </w:t>
      </w:r>
      <w:r>
        <w:rPr>
          <w:rFonts w:ascii="Arial" w:eastAsia="Arial" w:hAnsi="Arial" w:cs="Arial"/>
        </w:rPr>
        <w:t>and explores the following themes:</w:t>
      </w:r>
    </w:p>
    <w:bookmarkEnd w:id="2"/>
    <w:p w14:paraId="61AF65AD" w14:textId="77777777" w:rsidR="00781033" w:rsidRDefault="00A257C0">
      <w:pPr>
        <w:numPr>
          <w:ilvl w:val="0"/>
          <w:numId w:val="1"/>
        </w:numPr>
        <w:pBdr>
          <w:left w:val="none" w:sz="0" w:space="7" w:color="auto"/>
        </w:pBdr>
        <w:spacing w:after="160" w:line="259" w:lineRule="auto"/>
        <w:ind w:left="1080" w:hanging="436"/>
      </w:pPr>
      <w:r>
        <w:rPr>
          <w:rFonts w:ascii="Arial" w:eastAsia="Arial" w:hAnsi="Arial" w:cs="Arial"/>
        </w:rPr>
        <w:t>How this area of Boston was once a tidal flat, and how the ship Skanska discovered in May 2016 came to rest a few blocks inland;</w:t>
      </w:r>
    </w:p>
    <w:p w14:paraId="20DC980F" w14:textId="77777777" w:rsidR="00781033" w:rsidRDefault="00A257C0">
      <w:pPr>
        <w:numPr>
          <w:ilvl w:val="0"/>
          <w:numId w:val="1"/>
        </w:numPr>
        <w:pBdr>
          <w:left w:val="none" w:sz="0" w:space="7" w:color="auto"/>
        </w:pBdr>
        <w:spacing w:after="160" w:line="259" w:lineRule="auto"/>
        <w:ind w:left="1080" w:hanging="436"/>
      </w:pPr>
      <w:r>
        <w:rPr>
          <w:rFonts w:ascii="Arial" w:eastAsia="Arial" w:hAnsi="Arial" w:cs="Arial"/>
        </w:rPr>
        <w:t xml:space="preserve">How city planners filled land over the former tidal flat in </w:t>
      </w:r>
      <w:r w:rsidR="00D22DA8">
        <w:rPr>
          <w:rFonts w:ascii="Arial" w:eastAsia="Arial" w:hAnsi="Arial" w:cs="Arial"/>
        </w:rPr>
        <w:t>the nineteenth century</w:t>
      </w:r>
      <w:r>
        <w:rPr>
          <w:rFonts w:ascii="Arial" w:eastAsia="Arial" w:hAnsi="Arial" w:cs="Arial"/>
        </w:rPr>
        <w:t xml:space="preserve">, burying the ship; </w:t>
      </w:r>
    </w:p>
    <w:p w14:paraId="49C234BE" w14:textId="77777777" w:rsidR="00781033" w:rsidRDefault="00A257C0">
      <w:pPr>
        <w:numPr>
          <w:ilvl w:val="0"/>
          <w:numId w:val="1"/>
        </w:numPr>
        <w:pBdr>
          <w:left w:val="none" w:sz="0" w:space="7" w:color="auto"/>
        </w:pBdr>
        <w:spacing w:after="160" w:line="259" w:lineRule="auto"/>
        <w:ind w:left="1080" w:hanging="436"/>
      </w:pPr>
      <w:r>
        <w:rPr>
          <w:rFonts w:ascii="Arial" w:eastAsia="Arial" w:hAnsi="Arial" w:cs="Arial"/>
        </w:rPr>
        <w:t>The Seaport’s industrial past and evolution, and how a railroad</w:t>
      </w:r>
      <w:r w:rsidR="00D22DA8">
        <w:rPr>
          <w:rFonts w:ascii="Arial" w:eastAsia="Arial" w:hAnsi="Arial" w:cs="Arial"/>
        </w:rPr>
        <w:t>s</w:t>
      </w:r>
      <w:r>
        <w:rPr>
          <w:rFonts w:ascii="Arial" w:eastAsia="Arial" w:hAnsi="Arial" w:cs="Arial"/>
        </w:rPr>
        <w:t xml:space="preserve"> </w:t>
      </w:r>
      <w:r w:rsidR="000444FD">
        <w:rPr>
          <w:rFonts w:ascii="Arial" w:eastAsia="Arial" w:hAnsi="Arial" w:cs="Arial"/>
        </w:rPr>
        <w:t xml:space="preserve">and warehouses </w:t>
      </w:r>
      <w:r>
        <w:rPr>
          <w:rFonts w:ascii="Arial" w:eastAsia="Arial" w:hAnsi="Arial" w:cs="Arial"/>
        </w:rPr>
        <w:t xml:space="preserve">once </w:t>
      </w:r>
      <w:r w:rsidR="000444FD">
        <w:rPr>
          <w:rFonts w:ascii="Arial" w:eastAsia="Arial" w:hAnsi="Arial" w:cs="Arial"/>
        </w:rPr>
        <w:t>dominated the neighborhood</w:t>
      </w:r>
      <w:r>
        <w:rPr>
          <w:rFonts w:ascii="Arial" w:eastAsia="Arial" w:hAnsi="Arial" w:cs="Arial"/>
        </w:rPr>
        <w:t xml:space="preserve">; </w:t>
      </w:r>
    </w:p>
    <w:p w14:paraId="3A6E26D4" w14:textId="77777777" w:rsidR="00781033" w:rsidRDefault="00A257C0">
      <w:pPr>
        <w:numPr>
          <w:ilvl w:val="0"/>
          <w:numId w:val="1"/>
        </w:numPr>
        <w:pBdr>
          <w:left w:val="none" w:sz="0" w:space="7" w:color="auto"/>
        </w:pBdr>
        <w:spacing w:after="160" w:line="259" w:lineRule="auto"/>
        <w:ind w:left="1080" w:hanging="436"/>
      </w:pPr>
      <w:r>
        <w:rPr>
          <w:rFonts w:ascii="Arial" w:eastAsia="Arial" w:hAnsi="Arial" w:cs="Arial"/>
        </w:rPr>
        <w:t>The artifacts archeologists found within the ship; and</w:t>
      </w:r>
    </w:p>
    <w:p w14:paraId="2ED469A2" w14:textId="77777777" w:rsidR="00781033" w:rsidRDefault="00A257C0">
      <w:pPr>
        <w:numPr>
          <w:ilvl w:val="0"/>
          <w:numId w:val="1"/>
        </w:numPr>
        <w:pBdr>
          <w:left w:val="none" w:sz="0" w:space="7" w:color="auto"/>
        </w:pBdr>
        <w:spacing w:after="160" w:line="259" w:lineRule="auto"/>
        <w:ind w:left="1080" w:hanging="436"/>
      </w:pPr>
      <w:r>
        <w:rPr>
          <w:rFonts w:ascii="Arial" w:eastAsia="Arial" w:hAnsi="Arial" w:cs="Arial"/>
        </w:rPr>
        <w:t xml:space="preserve">Facts about the ship’s last voyage, believed to be from Rockland Maine to the South Boston Flats  </w:t>
      </w:r>
    </w:p>
    <w:p w14:paraId="25E544CB" w14:textId="691908D2" w:rsidR="00781033" w:rsidRDefault="00A257C0">
      <w:pPr>
        <w:spacing w:after="160" w:line="259" w:lineRule="auto"/>
        <w:rPr>
          <w:rFonts w:ascii="Arial" w:eastAsia="Arial" w:hAnsi="Arial" w:cs="Arial"/>
        </w:rPr>
      </w:pPr>
      <w:r>
        <w:rPr>
          <w:rFonts w:ascii="Arial" w:eastAsia="Arial" w:hAnsi="Arial" w:cs="Arial"/>
        </w:rPr>
        <w:t>“Skanska set the bar high in terms of doing the right thing when working on any development / construction site,” said City of Boston Archaeologist Joe Bagley. “We are thankful that Skanska brought the discovery to our attention and has honored it in such a meaningful way.”</w:t>
      </w:r>
    </w:p>
    <w:p w14:paraId="678CEA86" w14:textId="17E0E712" w:rsidR="00781033" w:rsidRDefault="00A257C0">
      <w:pPr>
        <w:spacing w:after="160" w:line="259" w:lineRule="auto"/>
        <w:rPr>
          <w:rFonts w:ascii="Arial" w:eastAsia="Arial" w:hAnsi="Arial" w:cs="Arial"/>
        </w:rPr>
      </w:pPr>
      <w:r>
        <w:rPr>
          <w:rFonts w:ascii="Arial" w:eastAsia="Arial" w:hAnsi="Arial" w:cs="Arial"/>
        </w:rPr>
        <w:t xml:space="preserve">Reflecting the innovative spirit of the Seaport District, the Harbor Way </w:t>
      </w:r>
      <w:r w:rsidR="000444FD">
        <w:rPr>
          <w:rFonts w:ascii="Arial" w:eastAsia="Arial" w:hAnsi="Arial" w:cs="Arial"/>
        </w:rPr>
        <w:t xml:space="preserve">phone app </w:t>
      </w:r>
      <w:r>
        <w:rPr>
          <w:rFonts w:ascii="Arial" w:eastAsia="Arial" w:hAnsi="Arial" w:cs="Arial"/>
        </w:rPr>
        <w:t xml:space="preserve">incorporates an AR </w:t>
      </w:r>
      <w:r w:rsidR="000444FD">
        <w:rPr>
          <w:rFonts w:ascii="Arial" w:eastAsia="Arial" w:hAnsi="Arial" w:cs="Arial"/>
        </w:rPr>
        <w:t xml:space="preserve">feature </w:t>
      </w:r>
      <w:r>
        <w:rPr>
          <w:rFonts w:ascii="Arial" w:eastAsia="Arial" w:hAnsi="Arial" w:cs="Arial"/>
        </w:rPr>
        <w:t xml:space="preserve">which </w:t>
      </w:r>
      <w:r w:rsidR="000444FD">
        <w:rPr>
          <w:rFonts w:ascii="Arial" w:eastAsia="Arial" w:hAnsi="Arial" w:cs="Arial"/>
        </w:rPr>
        <w:t xml:space="preserve">utilizes software </w:t>
      </w:r>
      <w:r>
        <w:rPr>
          <w:rFonts w:ascii="Arial" w:eastAsia="Arial" w:hAnsi="Arial" w:cs="Arial"/>
        </w:rPr>
        <w:t xml:space="preserve">developed by </w:t>
      </w:r>
      <w:r w:rsidRPr="00961D6E">
        <w:rPr>
          <w:rFonts w:ascii="Arial" w:eastAsia="Arial" w:hAnsi="Arial" w:cs="Arial"/>
          <w:u w:color="0563C1"/>
        </w:rPr>
        <w:t>PTC</w:t>
      </w:r>
      <w:r w:rsidR="000444FD" w:rsidRPr="00961D6E">
        <w:rPr>
          <w:rFonts w:ascii="Arial" w:eastAsia="Arial" w:hAnsi="Arial" w:cs="Arial"/>
          <w:u w:color="0563C1"/>
        </w:rPr>
        <w:t xml:space="preserve">, the anchor tenant of </w:t>
      </w:r>
      <w:r w:rsidR="00946A50" w:rsidRPr="00961D6E">
        <w:rPr>
          <w:rFonts w:ascii="Arial" w:eastAsia="Arial" w:hAnsi="Arial" w:cs="Arial"/>
          <w:u w:color="0563C1"/>
        </w:rPr>
        <w:t>Skanska’s</w:t>
      </w:r>
      <w:r w:rsidR="000444FD" w:rsidRPr="00961D6E">
        <w:rPr>
          <w:rFonts w:ascii="Arial" w:eastAsia="Arial" w:hAnsi="Arial" w:cs="Arial"/>
          <w:u w:color="0563C1"/>
        </w:rPr>
        <w:t xml:space="preserve"> adjacent 121 Seaport building</w:t>
      </w:r>
      <w:r>
        <w:rPr>
          <w:rFonts w:ascii="Arial" w:eastAsia="Arial" w:hAnsi="Arial" w:cs="Arial"/>
        </w:rPr>
        <w:t xml:space="preserve">. The app provides a more detailed, virtually guided tour through </w:t>
      </w:r>
      <w:r w:rsidR="000444FD">
        <w:rPr>
          <w:rFonts w:ascii="Arial" w:eastAsia="Arial" w:hAnsi="Arial" w:cs="Arial"/>
        </w:rPr>
        <w:t>Harbor Way</w:t>
      </w:r>
      <w:r>
        <w:rPr>
          <w:rFonts w:ascii="Arial" w:eastAsia="Arial" w:hAnsi="Arial" w:cs="Arial"/>
        </w:rPr>
        <w:t xml:space="preserve"> for those interested in additional information along each stop. For those who do not wish to download the app, the </w:t>
      </w:r>
      <w:r w:rsidR="000444FD">
        <w:rPr>
          <w:rFonts w:ascii="Arial" w:eastAsia="Arial" w:hAnsi="Arial" w:cs="Arial"/>
        </w:rPr>
        <w:t>five “</w:t>
      </w:r>
      <w:r>
        <w:rPr>
          <w:rFonts w:ascii="Arial" w:eastAsia="Arial" w:hAnsi="Arial" w:cs="Arial"/>
        </w:rPr>
        <w:t>stops</w:t>
      </w:r>
      <w:r w:rsidR="000444FD">
        <w:rPr>
          <w:rFonts w:ascii="Arial" w:eastAsia="Arial" w:hAnsi="Arial" w:cs="Arial"/>
        </w:rPr>
        <w:t>” along the park</w:t>
      </w:r>
      <w:r>
        <w:rPr>
          <w:rFonts w:ascii="Arial" w:eastAsia="Arial" w:hAnsi="Arial" w:cs="Arial"/>
        </w:rPr>
        <w:t xml:space="preserve"> provide a succinct overview of the area’s history and Skanska’s </w:t>
      </w:r>
      <w:r w:rsidR="00946A50">
        <w:rPr>
          <w:rFonts w:ascii="Arial" w:eastAsia="Arial" w:hAnsi="Arial" w:cs="Arial"/>
        </w:rPr>
        <w:t xml:space="preserve">ship </w:t>
      </w:r>
      <w:r>
        <w:rPr>
          <w:rFonts w:ascii="Arial" w:eastAsia="Arial" w:hAnsi="Arial" w:cs="Arial"/>
        </w:rPr>
        <w:t>discovery</w:t>
      </w:r>
      <w:r w:rsidR="00961D6E">
        <w:rPr>
          <w:rFonts w:ascii="Arial" w:eastAsia="Arial" w:hAnsi="Arial" w:cs="Arial"/>
        </w:rPr>
        <w:t>,</w:t>
      </w:r>
      <w:r w:rsidR="000444FD">
        <w:rPr>
          <w:rFonts w:ascii="Arial" w:eastAsia="Arial" w:hAnsi="Arial" w:cs="Arial"/>
        </w:rPr>
        <w:t xml:space="preserve"> and the digital kiosk provides a wealth of historical content</w:t>
      </w:r>
      <w:r>
        <w:rPr>
          <w:rFonts w:ascii="Arial" w:eastAsia="Arial" w:hAnsi="Arial" w:cs="Arial"/>
        </w:rPr>
        <w:t xml:space="preserve">. Local landscape architecture firm </w:t>
      </w:r>
      <w:hyperlink r:id="rId15" w:history="1">
        <w:r>
          <w:rPr>
            <w:rFonts w:ascii="Arial" w:eastAsia="Arial" w:hAnsi="Arial" w:cs="Arial"/>
            <w:color w:val="0563C1"/>
            <w:u w:val="single" w:color="0563C1"/>
          </w:rPr>
          <w:t>Copley Wolff Design Group</w:t>
        </w:r>
      </w:hyperlink>
      <w:r>
        <w:rPr>
          <w:rFonts w:ascii="Arial" w:eastAsia="Arial" w:hAnsi="Arial" w:cs="Arial"/>
        </w:rPr>
        <w:t xml:space="preserve">, </w:t>
      </w:r>
      <w:r w:rsidR="00946A50">
        <w:rPr>
          <w:rFonts w:ascii="Arial" w:eastAsia="Arial" w:hAnsi="Arial" w:cs="Arial"/>
        </w:rPr>
        <w:t xml:space="preserve">and </w:t>
      </w:r>
      <w:r>
        <w:rPr>
          <w:rFonts w:ascii="Arial" w:eastAsia="Arial" w:hAnsi="Arial" w:cs="Arial"/>
        </w:rPr>
        <w:t>experiential design firm</w:t>
      </w:r>
      <w:r w:rsidR="000444FD">
        <w:rPr>
          <w:rFonts w:ascii="Arial" w:eastAsia="Arial" w:hAnsi="Arial" w:cs="Arial"/>
        </w:rPr>
        <w:t>s</w:t>
      </w:r>
      <w:r>
        <w:rPr>
          <w:rFonts w:ascii="Arial" w:eastAsia="Arial" w:hAnsi="Arial" w:cs="Arial"/>
        </w:rPr>
        <w:t xml:space="preserve"> </w:t>
      </w:r>
      <w:hyperlink r:id="rId16" w:history="1">
        <w:r>
          <w:rPr>
            <w:rFonts w:ascii="Arial" w:eastAsia="Arial" w:hAnsi="Arial" w:cs="Arial"/>
            <w:color w:val="0563C1"/>
            <w:u w:val="single" w:color="0563C1"/>
          </w:rPr>
          <w:t>Trivium Interactive</w:t>
        </w:r>
      </w:hyperlink>
      <w:r>
        <w:rPr>
          <w:rFonts w:ascii="Arial" w:eastAsia="Arial" w:hAnsi="Arial" w:cs="Arial"/>
        </w:rPr>
        <w:t xml:space="preserve"> and </w:t>
      </w:r>
      <w:hyperlink r:id="rId17" w:history="1">
        <w:r>
          <w:rPr>
            <w:rFonts w:ascii="Arial" w:eastAsia="Arial" w:hAnsi="Arial" w:cs="Arial"/>
            <w:color w:val="0563C1"/>
            <w:u w:val="single" w:color="0563C1"/>
          </w:rPr>
          <w:t>Amaze Design</w:t>
        </w:r>
      </w:hyperlink>
      <w:r>
        <w:rPr>
          <w:rFonts w:ascii="Arial" w:eastAsia="Arial" w:hAnsi="Arial" w:cs="Arial"/>
        </w:rPr>
        <w:t xml:space="preserve"> contributed to the design and activation of Skanska’s Harbor Way. </w:t>
      </w:r>
    </w:p>
    <w:p w14:paraId="6CDE451E" w14:textId="77777777" w:rsidR="00961D6E" w:rsidRDefault="00961D6E">
      <w:pPr>
        <w:spacing w:after="160" w:line="259" w:lineRule="auto"/>
        <w:rPr>
          <w:rFonts w:ascii="Arial" w:eastAsia="Arial" w:hAnsi="Arial" w:cs="Arial"/>
          <w:b/>
          <w:bCs/>
        </w:rPr>
      </w:pPr>
    </w:p>
    <w:p w14:paraId="240DFB29" w14:textId="369AD4B0" w:rsidR="00781033" w:rsidRDefault="00A257C0">
      <w:pPr>
        <w:spacing w:after="160" w:line="259" w:lineRule="auto"/>
      </w:pPr>
      <w:r>
        <w:rPr>
          <w:rFonts w:ascii="Arial" w:eastAsia="Arial" w:hAnsi="Arial" w:cs="Arial"/>
          <w:b/>
          <w:bCs/>
        </w:rPr>
        <w:t>About Skanska</w:t>
      </w:r>
    </w:p>
    <w:p w14:paraId="47691DA0" w14:textId="77777777" w:rsidR="00781033" w:rsidRDefault="000444FD">
      <w:pPr>
        <w:spacing w:after="160" w:line="259" w:lineRule="auto"/>
      </w:pPr>
      <w:r>
        <w:rPr>
          <w:rFonts w:ascii="Arial" w:eastAsia="Arial" w:hAnsi="Arial" w:cs="Arial"/>
        </w:rPr>
        <w:t xml:space="preserve">Along with 121 Seaport, </w:t>
      </w:r>
      <w:r w:rsidR="00A257C0">
        <w:rPr>
          <w:rFonts w:ascii="Arial" w:eastAsia="Arial" w:hAnsi="Arial" w:cs="Arial"/>
        </w:rPr>
        <w:t xml:space="preserve">Boston’s most sustainable block, developed by Skanska, is also home to </w:t>
      </w:r>
      <w:hyperlink r:id="rId18" w:tgtFrame="_blank" w:history="1">
        <w:r w:rsidR="00A257C0">
          <w:rPr>
            <w:rFonts w:ascii="Arial" w:eastAsia="Arial" w:hAnsi="Arial" w:cs="Arial"/>
            <w:color w:val="0563C1"/>
            <w:u w:val="single" w:color="0563C1"/>
          </w:rPr>
          <w:t>101</w:t>
        </w:r>
        <w:r w:rsidR="00A257C0">
          <w:rPr>
            <w:rFonts w:ascii="Arial" w:eastAsia="Arial" w:hAnsi="Arial" w:cs="Arial"/>
            <w:b/>
            <w:bCs/>
            <w:color w:val="0563C1"/>
            <w:u w:val="single" w:color="0563C1"/>
          </w:rPr>
          <w:t xml:space="preserve"> </w:t>
        </w:r>
        <w:r w:rsidR="00A257C0">
          <w:rPr>
            <w:rFonts w:ascii="Arial" w:eastAsia="Arial" w:hAnsi="Arial" w:cs="Arial"/>
            <w:color w:val="0563C1"/>
            <w:u w:val="single" w:color="0563C1"/>
          </w:rPr>
          <w:t>Seaport</w:t>
        </w:r>
      </w:hyperlink>
      <w:r w:rsidR="00A257C0">
        <w:rPr>
          <w:rFonts w:ascii="Arial" w:eastAsia="Arial" w:hAnsi="Arial" w:cs="Arial"/>
          <w:u w:val="single"/>
        </w:rPr>
        <w:t>,</w:t>
      </w:r>
      <w:r w:rsidR="00A257C0">
        <w:rPr>
          <w:rFonts w:ascii="Arial" w:eastAsia="Arial" w:hAnsi="Arial" w:cs="Arial"/>
        </w:rPr>
        <w:t xml:space="preserve"> the </w:t>
      </w:r>
      <w:r>
        <w:rPr>
          <w:rFonts w:ascii="Arial" w:eastAsia="Arial" w:hAnsi="Arial" w:cs="Arial"/>
        </w:rPr>
        <w:t xml:space="preserve">LEED Platinum </w:t>
      </w:r>
      <w:r w:rsidR="00A257C0">
        <w:rPr>
          <w:rFonts w:ascii="Arial" w:eastAsia="Arial" w:hAnsi="Arial" w:cs="Arial"/>
        </w:rPr>
        <w:t>North American headquarters for PwC; and </w:t>
      </w:r>
      <w:hyperlink r:id="rId19" w:tgtFrame="_blank" w:history="1">
        <w:r w:rsidR="00A257C0">
          <w:rPr>
            <w:rFonts w:ascii="Arial" w:eastAsia="Arial" w:hAnsi="Arial" w:cs="Arial"/>
            <w:color w:val="0563C1"/>
            <w:u w:val="single" w:color="0563C1"/>
          </w:rPr>
          <w:t>Watermark Seaport</w:t>
        </w:r>
      </w:hyperlink>
      <w:r w:rsidR="00A257C0">
        <w:rPr>
          <w:rFonts w:ascii="Arial" w:eastAsia="Arial" w:hAnsi="Arial" w:cs="Arial"/>
        </w:rPr>
        <w:t xml:space="preserve">, a 300,000 square-foot, LEED Gold residential building with ground-floor retail. The Skanska team is currently developing </w:t>
      </w:r>
      <w:hyperlink r:id="rId20" w:history="1">
        <w:r w:rsidR="00A257C0">
          <w:rPr>
            <w:rFonts w:ascii="Arial" w:eastAsia="Arial" w:hAnsi="Arial" w:cs="Arial"/>
            <w:color w:val="0563C1"/>
            <w:u w:val="single" w:color="0563C1"/>
          </w:rPr>
          <w:t>Two Drydock</w:t>
        </w:r>
      </w:hyperlink>
      <w:r w:rsidR="00A257C0">
        <w:rPr>
          <w:rFonts w:ascii="Arial" w:eastAsia="Arial" w:hAnsi="Arial" w:cs="Arial"/>
        </w:rPr>
        <w:t xml:space="preserve">, an approximately 225,000 square foot, Class-A office building located at 2 Drydock Avenue within Boston’s Seaport District. </w:t>
      </w:r>
    </w:p>
    <w:p w14:paraId="26A252C7" w14:textId="77777777" w:rsidR="00781033" w:rsidRDefault="00A257C0">
      <w:pPr>
        <w:spacing w:after="160" w:line="259" w:lineRule="auto"/>
      </w:pPr>
      <w:r>
        <w:rPr>
          <w:rFonts w:ascii="Arial" w:eastAsia="Arial" w:hAnsi="Arial" w:cs="Arial"/>
        </w:rPr>
        <w:lastRenderedPageBreak/>
        <w:t xml:space="preserve">To mark the start of Two Drydock, Skanska </w:t>
      </w:r>
      <w:r w:rsidR="000444FD">
        <w:rPr>
          <w:rFonts w:ascii="Arial" w:eastAsia="Arial" w:hAnsi="Arial" w:cs="Arial"/>
        </w:rPr>
        <w:t xml:space="preserve">recently </w:t>
      </w:r>
      <w:r>
        <w:rPr>
          <w:rFonts w:ascii="Arial" w:eastAsia="Arial" w:hAnsi="Arial" w:cs="Arial"/>
        </w:rPr>
        <w:t xml:space="preserve">presented a $70,000 donation to </w:t>
      </w:r>
      <w:hyperlink r:id="rId21" w:history="1">
        <w:r>
          <w:rPr>
            <w:rFonts w:ascii="Arial" w:eastAsia="Arial" w:hAnsi="Arial" w:cs="Arial"/>
            <w:color w:val="0563C1"/>
            <w:u w:val="single" w:color="0563C1"/>
          </w:rPr>
          <w:t>Martin’s Park</w:t>
        </w:r>
      </w:hyperlink>
      <w:r>
        <w:rPr>
          <w:rFonts w:ascii="Arial" w:eastAsia="Arial" w:hAnsi="Arial" w:cs="Arial"/>
        </w:rPr>
        <w:t xml:space="preserve">, a new public park adjacent to the Boston Children’s Museum initiated by </w:t>
      </w:r>
      <w:hyperlink r:id="rId22" w:history="1">
        <w:r>
          <w:rPr>
            <w:rFonts w:ascii="Arial" w:eastAsia="Arial" w:hAnsi="Arial" w:cs="Arial"/>
            <w:color w:val="0563C1"/>
            <w:u w:val="single" w:color="0563C1"/>
          </w:rPr>
          <w:t>The Martin Richard Foundation</w:t>
        </w:r>
      </w:hyperlink>
      <w:r>
        <w:rPr>
          <w:rFonts w:ascii="Arial" w:eastAsia="Arial" w:hAnsi="Arial" w:cs="Arial"/>
        </w:rPr>
        <w:t>, which provides opportunities for young people to learn, grow, and lead through volunteerism and community engagement.</w:t>
      </w:r>
    </w:p>
    <w:p w14:paraId="3C4E52FE" w14:textId="77777777" w:rsidR="00781033" w:rsidRDefault="00A257C0">
      <w:pPr>
        <w:spacing w:after="160" w:line="259" w:lineRule="auto"/>
      </w:pPr>
      <w:r>
        <w:rPr>
          <w:rFonts w:ascii="Arial" w:eastAsia="Arial" w:hAnsi="Arial" w:cs="Arial"/>
        </w:rPr>
        <w:t xml:space="preserve">Skanska also developed 150 Second Street, a lab and office building in Cambridge, MA, and </w:t>
      </w:r>
      <w:hyperlink r:id="rId23" w:history="1">
        <w:r>
          <w:rPr>
            <w:rFonts w:ascii="Arial" w:eastAsia="Arial" w:hAnsi="Arial" w:cs="Arial"/>
            <w:color w:val="0563C1"/>
            <w:u w:val="single" w:color="0563C1"/>
          </w:rPr>
          <w:t>The Harlo</w:t>
        </w:r>
      </w:hyperlink>
      <w:r>
        <w:rPr>
          <w:rFonts w:ascii="Arial" w:eastAsia="Arial" w:hAnsi="Arial" w:cs="Arial"/>
        </w:rPr>
        <w:t xml:space="preserve">, a 17-story, LEED Gold certified, 183,000 square foot luxury residential tower in the Fenway.  </w:t>
      </w:r>
    </w:p>
    <w:p w14:paraId="23D2A4AE" w14:textId="77777777" w:rsidR="00781033" w:rsidRDefault="00A257C0">
      <w:pPr>
        <w:spacing w:after="160" w:line="259" w:lineRule="auto"/>
      </w:pPr>
      <w:r>
        <w:rPr>
          <w:rFonts w:ascii="Arial" w:eastAsia="Arial" w:hAnsi="Arial" w:cs="Arial"/>
        </w:rPr>
        <w:t>Skanska has built and restored New England’s landmarks for more than 70 years, from Gillette Stadium and the Novartis Institute for Biomedical Research, to the Longfellow Bridge. Skanska continues to leverage its local knowledge and global expertise to shape the region's institutional, commercial, healthcare and life science facilities, as well as to enhance or expand essential transportation and energy infrastructure.</w:t>
      </w:r>
    </w:p>
    <w:p w14:paraId="630468D9" w14:textId="77777777" w:rsidR="00781033" w:rsidRDefault="00A257C0">
      <w:pPr>
        <w:spacing w:after="160" w:line="259" w:lineRule="auto"/>
      </w:pPr>
      <w:bookmarkStart w:id="4" w:name="_Hlk483485568"/>
      <w:r>
        <w:rPr>
          <w:rFonts w:ascii="Arial" w:eastAsia="Arial" w:hAnsi="Arial" w:cs="Arial"/>
          <w:b/>
          <w:bCs/>
        </w:rPr>
        <w:t>______________________________________________________________________</w:t>
      </w:r>
    </w:p>
    <w:p w14:paraId="3B372B2B" w14:textId="77777777" w:rsidR="00781033" w:rsidRDefault="00A257C0">
      <w:r>
        <w:rPr>
          <w:rFonts w:ascii="Arial" w:eastAsia="Arial" w:hAnsi="Arial" w:cs="Arial"/>
          <w:b/>
          <w:bCs/>
        </w:rPr>
        <w:t>For further information, please contact:</w:t>
      </w:r>
    </w:p>
    <w:p w14:paraId="4E7FDE65" w14:textId="2A21DE08" w:rsidR="00781033" w:rsidRDefault="00A257C0">
      <w:r>
        <w:rPr>
          <w:rFonts w:ascii="Arial" w:eastAsia="Arial" w:hAnsi="Arial" w:cs="Arial"/>
        </w:rPr>
        <w:t xml:space="preserve">Riva Cheses, Solomon McCown, </w:t>
      </w:r>
      <w:hyperlink r:id="rId24" w:history="1">
        <w:r>
          <w:rPr>
            <w:rFonts w:ascii="Arial" w:eastAsia="Arial" w:hAnsi="Arial" w:cs="Arial"/>
            <w:color w:val="0563C1"/>
            <w:u w:val="single" w:color="0563C1"/>
          </w:rPr>
          <w:t>rchesess@solomonmccown.com</w:t>
        </w:r>
      </w:hyperlink>
      <w:r>
        <w:rPr>
          <w:rFonts w:ascii="Arial" w:eastAsia="Arial" w:hAnsi="Arial" w:cs="Arial"/>
        </w:rPr>
        <w:t>, 617-933-5276</w:t>
      </w:r>
    </w:p>
    <w:p w14:paraId="1A83B75D" w14:textId="77777777" w:rsidR="00781033" w:rsidRDefault="00781033"/>
    <w:p w14:paraId="4A1E2920" w14:textId="77777777" w:rsidR="00781033" w:rsidRDefault="00A257C0">
      <w:r>
        <w:rPr>
          <w:rFonts w:ascii="Arial" w:eastAsia="Arial" w:hAnsi="Arial" w:cs="Arial"/>
        </w:rPr>
        <w:t xml:space="preserve">Nick Derasmo, Skanska, </w:t>
      </w:r>
      <w:hyperlink r:id="rId25" w:history="1">
        <w:r>
          <w:rPr>
            <w:rFonts w:ascii="Arial" w:eastAsia="Arial" w:hAnsi="Arial" w:cs="Arial"/>
            <w:color w:val="0563C1"/>
            <w:u w:val="single" w:color="0563C1"/>
          </w:rPr>
          <w:t>nick.derasmo@skanska.com</w:t>
        </w:r>
      </w:hyperlink>
      <w:r>
        <w:rPr>
          <w:rFonts w:ascii="Arial" w:eastAsia="Arial" w:hAnsi="Arial" w:cs="Arial"/>
        </w:rPr>
        <w:t>, 917-438-4568</w:t>
      </w:r>
      <w:r>
        <w:rPr>
          <w:rFonts w:ascii="Arial" w:eastAsia="Arial" w:hAnsi="Arial" w:cs="Arial"/>
          <w:u w:val="single"/>
        </w:rPr>
        <w:t xml:space="preserve"> </w:t>
      </w:r>
    </w:p>
    <w:p w14:paraId="021C8F43" w14:textId="77777777" w:rsidR="00781033" w:rsidRDefault="00781033"/>
    <w:p w14:paraId="1CB0C0A1" w14:textId="77777777" w:rsidR="00781033" w:rsidRDefault="00A257C0">
      <w:pPr>
        <w:spacing w:after="160" w:line="259" w:lineRule="auto"/>
      </w:pPr>
      <w:r>
        <w:rPr>
          <w:rFonts w:ascii="Arial" w:eastAsia="Arial" w:hAnsi="Arial" w:cs="Arial"/>
          <w:i/>
          <w:iCs/>
        </w:rPr>
        <w:t xml:space="preserve">This and previous releases can also be found at </w:t>
      </w:r>
      <w:hyperlink r:id="rId26" w:history="1">
        <w:r>
          <w:rPr>
            <w:rFonts w:ascii="Arial" w:eastAsia="Arial" w:hAnsi="Arial" w:cs="Arial"/>
            <w:color w:val="0563C1"/>
            <w:u w:val="single" w:color="0563C1"/>
          </w:rPr>
          <w:t>www.usa.skanska.com</w:t>
        </w:r>
      </w:hyperlink>
    </w:p>
    <w:bookmarkEnd w:id="4"/>
    <w:p w14:paraId="34120BE8" w14:textId="13A132AD" w:rsidR="00781033" w:rsidRDefault="00A257C0">
      <w:pPr>
        <w:spacing w:after="160" w:line="259" w:lineRule="auto"/>
      </w:pPr>
      <w:r>
        <w:rPr>
          <w:rFonts w:ascii="Arial" w:eastAsia="Arial" w:hAnsi="Arial" w:cs="Arial"/>
        </w:rPr>
        <w:t xml:space="preserve">Skanska USA is one of the largest, most financially sound construction and development companies in the U.S., serving a broad range of clients including those in transportation, power, industrial, water/wastewater, healthcare, education, sports, data centers, government, aviation, life sciences and commercial.  Headquartered in New York with offices in 31 metro areas, we have nearly 11,000 employees committed to being leaders in safety, project execution, sustainability, ethics and people development. In 2017, our work in building construction, civil and power/industrial construction, commercial development and infrastructure development (public-private partnerships) generated $7.3 billion in revenue.  Global revenue of parent company Skanska AB, headquartered in Stockholm and listed on the Stockholm Stock Exchange, totaled $18.8 billion in 2017. Skanska shares are publicly traded in the U.S. on the OTC market under the symbol SKBSY through a Level I American Depository Receipt program.  </w:t>
      </w:r>
    </w:p>
    <w:sectPr w:rsidR="00781033">
      <w:headerReference w:type="default" r:id="rId2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340A" w14:textId="77777777" w:rsidR="009D12D4" w:rsidRDefault="009D12D4">
      <w:r>
        <w:separator/>
      </w:r>
    </w:p>
  </w:endnote>
  <w:endnote w:type="continuationSeparator" w:id="0">
    <w:p w14:paraId="01B905D1" w14:textId="77777777" w:rsidR="009D12D4" w:rsidRDefault="009D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B29BC" w14:textId="77777777" w:rsidR="009D12D4" w:rsidRDefault="009D12D4">
      <w:r>
        <w:separator/>
      </w:r>
    </w:p>
  </w:footnote>
  <w:footnote w:type="continuationSeparator" w:id="0">
    <w:p w14:paraId="2E8825A6" w14:textId="77777777" w:rsidR="009D12D4" w:rsidRDefault="009D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96E8" w14:textId="75FC6C6F" w:rsidR="00781033" w:rsidRDefault="0019722E">
    <w:pPr>
      <w:rPr>
        <w:sz w:val="22"/>
        <w:szCs w:val="22"/>
      </w:rPr>
    </w:pPr>
    <w:bookmarkStart w:id="5" w:name="_Hlk482349549"/>
    <w:bookmarkEnd w:id="5"/>
    <w:r>
      <w:rPr>
        <w:noProof/>
      </w:rPr>
      <w:drawing>
        <wp:anchor distT="0" distB="0" distL="114300" distR="114300" simplePos="0" relativeHeight="251659264" behindDoc="0" locked="0" layoutInCell="1" allowOverlap="0" wp14:anchorId="6FD8D828" wp14:editId="15DA9F9C">
          <wp:simplePos x="0" y="0"/>
          <wp:positionH relativeFrom="margin">
            <wp:posOffset>-561975</wp:posOffset>
          </wp:positionH>
          <wp:positionV relativeFrom="topMargin">
            <wp:posOffset>296545</wp:posOffset>
          </wp:positionV>
          <wp:extent cx="1600200" cy="390525"/>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836755" name=""/>
                  <pic:cNvPicPr>
                    <a:picLocks noChangeAspect="1"/>
                  </pic:cNvPicPr>
                </pic:nvPicPr>
                <pic:blipFill>
                  <a:blip r:embed="rId1"/>
                  <a:stretch>
                    <a:fillRect/>
                  </a:stretch>
                </pic:blipFill>
                <pic:spPr>
                  <a:xfrm>
                    <a:off x="0" y="0"/>
                    <a:ext cx="1600200" cy="390525"/>
                  </a:xfrm>
                  <a:prstGeom prst="rect">
                    <a:avLst/>
                  </a:prstGeom>
                </pic:spPr>
              </pic:pic>
            </a:graphicData>
          </a:graphic>
        </wp:anchor>
      </w:drawing>
    </w:r>
  </w:p>
  <w:p w14:paraId="1F033800" w14:textId="77777777" w:rsidR="00781033" w:rsidRDefault="00781033">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82A3B28">
      <w:start w:val="1"/>
      <w:numFmt w:val="bullet"/>
      <w:lvlText w:val=""/>
      <w:lvlJc w:val="left"/>
      <w:pPr>
        <w:ind w:left="720" w:hanging="360"/>
      </w:pPr>
      <w:rPr>
        <w:rFonts w:ascii="Symbol" w:hAnsi="Symbol"/>
        <w:b w:val="0"/>
        <w:bCs w:val="0"/>
      </w:rPr>
    </w:lvl>
    <w:lvl w:ilvl="1" w:tplc="BBD8E260">
      <w:start w:val="1"/>
      <w:numFmt w:val="bullet"/>
      <w:lvlText w:val="o"/>
      <w:lvlJc w:val="left"/>
      <w:pPr>
        <w:tabs>
          <w:tab w:val="num" w:pos="1440"/>
        </w:tabs>
        <w:ind w:left="1440" w:hanging="360"/>
      </w:pPr>
      <w:rPr>
        <w:rFonts w:ascii="Courier New" w:hAnsi="Courier New"/>
      </w:rPr>
    </w:lvl>
    <w:lvl w:ilvl="2" w:tplc="2F4E1EDC">
      <w:start w:val="1"/>
      <w:numFmt w:val="bullet"/>
      <w:lvlText w:val=""/>
      <w:lvlJc w:val="left"/>
      <w:pPr>
        <w:tabs>
          <w:tab w:val="num" w:pos="2160"/>
        </w:tabs>
        <w:ind w:left="2160" w:hanging="360"/>
      </w:pPr>
      <w:rPr>
        <w:rFonts w:ascii="Wingdings" w:hAnsi="Wingdings"/>
      </w:rPr>
    </w:lvl>
    <w:lvl w:ilvl="3" w:tplc="632E3D20">
      <w:start w:val="1"/>
      <w:numFmt w:val="bullet"/>
      <w:lvlText w:val=""/>
      <w:lvlJc w:val="left"/>
      <w:pPr>
        <w:tabs>
          <w:tab w:val="num" w:pos="2880"/>
        </w:tabs>
        <w:ind w:left="2880" w:hanging="360"/>
      </w:pPr>
      <w:rPr>
        <w:rFonts w:ascii="Symbol" w:hAnsi="Symbol"/>
      </w:rPr>
    </w:lvl>
    <w:lvl w:ilvl="4" w:tplc="62A6D1E8">
      <w:start w:val="1"/>
      <w:numFmt w:val="bullet"/>
      <w:lvlText w:val="o"/>
      <w:lvlJc w:val="left"/>
      <w:pPr>
        <w:tabs>
          <w:tab w:val="num" w:pos="3600"/>
        </w:tabs>
        <w:ind w:left="3600" w:hanging="360"/>
      </w:pPr>
      <w:rPr>
        <w:rFonts w:ascii="Courier New" w:hAnsi="Courier New"/>
      </w:rPr>
    </w:lvl>
    <w:lvl w:ilvl="5" w:tplc="7236119E">
      <w:start w:val="1"/>
      <w:numFmt w:val="bullet"/>
      <w:lvlText w:val=""/>
      <w:lvlJc w:val="left"/>
      <w:pPr>
        <w:tabs>
          <w:tab w:val="num" w:pos="4320"/>
        </w:tabs>
        <w:ind w:left="4320" w:hanging="360"/>
      </w:pPr>
      <w:rPr>
        <w:rFonts w:ascii="Wingdings" w:hAnsi="Wingdings"/>
      </w:rPr>
    </w:lvl>
    <w:lvl w:ilvl="6" w:tplc="5F6A0012">
      <w:start w:val="1"/>
      <w:numFmt w:val="bullet"/>
      <w:lvlText w:val=""/>
      <w:lvlJc w:val="left"/>
      <w:pPr>
        <w:tabs>
          <w:tab w:val="num" w:pos="5040"/>
        </w:tabs>
        <w:ind w:left="5040" w:hanging="360"/>
      </w:pPr>
      <w:rPr>
        <w:rFonts w:ascii="Symbol" w:hAnsi="Symbol"/>
      </w:rPr>
    </w:lvl>
    <w:lvl w:ilvl="7" w:tplc="F7EA975A">
      <w:start w:val="1"/>
      <w:numFmt w:val="bullet"/>
      <w:lvlText w:val="o"/>
      <w:lvlJc w:val="left"/>
      <w:pPr>
        <w:tabs>
          <w:tab w:val="num" w:pos="5760"/>
        </w:tabs>
        <w:ind w:left="5760" w:hanging="360"/>
      </w:pPr>
      <w:rPr>
        <w:rFonts w:ascii="Courier New" w:hAnsi="Courier New"/>
      </w:rPr>
    </w:lvl>
    <w:lvl w:ilvl="8" w:tplc="CBE832A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3C7E347A">
      <w:start w:val="1"/>
      <w:numFmt w:val="bullet"/>
      <w:lvlText w:val=""/>
      <w:lvlJc w:val="left"/>
      <w:pPr>
        <w:ind w:left="720" w:hanging="360"/>
      </w:pPr>
      <w:rPr>
        <w:rFonts w:ascii="Symbol" w:hAnsi="Symbol"/>
        <w:b w:val="0"/>
        <w:bCs w:val="0"/>
      </w:rPr>
    </w:lvl>
    <w:lvl w:ilvl="1" w:tplc="985A4564">
      <w:start w:val="1"/>
      <w:numFmt w:val="bullet"/>
      <w:lvlText w:val="o"/>
      <w:lvlJc w:val="left"/>
      <w:pPr>
        <w:tabs>
          <w:tab w:val="num" w:pos="1440"/>
        </w:tabs>
        <w:ind w:left="1440" w:hanging="360"/>
      </w:pPr>
      <w:rPr>
        <w:rFonts w:ascii="Courier New" w:hAnsi="Courier New"/>
      </w:rPr>
    </w:lvl>
    <w:lvl w:ilvl="2" w:tplc="92622E9C">
      <w:start w:val="1"/>
      <w:numFmt w:val="bullet"/>
      <w:lvlText w:val=""/>
      <w:lvlJc w:val="left"/>
      <w:pPr>
        <w:tabs>
          <w:tab w:val="num" w:pos="2160"/>
        </w:tabs>
        <w:ind w:left="2160" w:hanging="360"/>
      </w:pPr>
      <w:rPr>
        <w:rFonts w:ascii="Wingdings" w:hAnsi="Wingdings"/>
      </w:rPr>
    </w:lvl>
    <w:lvl w:ilvl="3" w:tplc="9C7A9C00">
      <w:start w:val="1"/>
      <w:numFmt w:val="bullet"/>
      <w:lvlText w:val=""/>
      <w:lvlJc w:val="left"/>
      <w:pPr>
        <w:tabs>
          <w:tab w:val="num" w:pos="2880"/>
        </w:tabs>
        <w:ind w:left="2880" w:hanging="360"/>
      </w:pPr>
      <w:rPr>
        <w:rFonts w:ascii="Symbol" w:hAnsi="Symbol"/>
      </w:rPr>
    </w:lvl>
    <w:lvl w:ilvl="4" w:tplc="2B42E4F8">
      <w:start w:val="1"/>
      <w:numFmt w:val="bullet"/>
      <w:lvlText w:val="o"/>
      <w:lvlJc w:val="left"/>
      <w:pPr>
        <w:tabs>
          <w:tab w:val="num" w:pos="3600"/>
        </w:tabs>
        <w:ind w:left="3600" w:hanging="360"/>
      </w:pPr>
      <w:rPr>
        <w:rFonts w:ascii="Courier New" w:hAnsi="Courier New"/>
      </w:rPr>
    </w:lvl>
    <w:lvl w:ilvl="5" w:tplc="B32E6DBA">
      <w:start w:val="1"/>
      <w:numFmt w:val="bullet"/>
      <w:lvlText w:val=""/>
      <w:lvlJc w:val="left"/>
      <w:pPr>
        <w:tabs>
          <w:tab w:val="num" w:pos="4320"/>
        </w:tabs>
        <w:ind w:left="4320" w:hanging="360"/>
      </w:pPr>
      <w:rPr>
        <w:rFonts w:ascii="Wingdings" w:hAnsi="Wingdings"/>
      </w:rPr>
    </w:lvl>
    <w:lvl w:ilvl="6" w:tplc="DAF80E76">
      <w:start w:val="1"/>
      <w:numFmt w:val="bullet"/>
      <w:lvlText w:val=""/>
      <w:lvlJc w:val="left"/>
      <w:pPr>
        <w:tabs>
          <w:tab w:val="num" w:pos="5040"/>
        </w:tabs>
        <w:ind w:left="5040" w:hanging="360"/>
      </w:pPr>
      <w:rPr>
        <w:rFonts w:ascii="Symbol" w:hAnsi="Symbol"/>
      </w:rPr>
    </w:lvl>
    <w:lvl w:ilvl="7" w:tplc="25160510">
      <w:start w:val="1"/>
      <w:numFmt w:val="bullet"/>
      <w:lvlText w:val="o"/>
      <w:lvlJc w:val="left"/>
      <w:pPr>
        <w:tabs>
          <w:tab w:val="num" w:pos="5760"/>
        </w:tabs>
        <w:ind w:left="5760" w:hanging="360"/>
      </w:pPr>
      <w:rPr>
        <w:rFonts w:ascii="Courier New" w:hAnsi="Courier New"/>
      </w:rPr>
    </w:lvl>
    <w:lvl w:ilvl="8" w:tplc="75F4941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33"/>
    <w:rsid w:val="00024144"/>
    <w:rsid w:val="000444FD"/>
    <w:rsid w:val="000A6095"/>
    <w:rsid w:val="00110CAA"/>
    <w:rsid w:val="0019722E"/>
    <w:rsid w:val="00367054"/>
    <w:rsid w:val="00377EE5"/>
    <w:rsid w:val="0042345E"/>
    <w:rsid w:val="004E2CB3"/>
    <w:rsid w:val="0052568C"/>
    <w:rsid w:val="005A3A41"/>
    <w:rsid w:val="00781033"/>
    <w:rsid w:val="007B6805"/>
    <w:rsid w:val="0082354D"/>
    <w:rsid w:val="00912754"/>
    <w:rsid w:val="00923DCE"/>
    <w:rsid w:val="00925CEF"/>
    <w:rsid w:val="00946A50"/>
    <w:rsid w:val="00961D6E"/>
    <w:rsid w:val="00996C94"/>
    <w:rsid w:val="009D12D4"/>
    <w:rsid w:val="009F2429"/>
    <w:rsid w:val="00A06A8B"/>
    <w:rsid w:val="00A257C0"/>
    <w:rsid w:val="00A3500D"/>
    <w:rsid w:val="00D22DA8"/>
    <w:rsid w:val="00DA6C25"/>
    <w:rsid w:val="00DD7E3F"/>
    <w:rsid w:val="00E02FC5"/>
    <w:rsid w:val="00F70B65"/>
    <w:rsid w:val="00FC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E086"/>
  <w15:docId w15:val="{2698F46F-3494-4446-BB8C-CC412564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525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68C"/>
    <w:rPr>
      <w:rFonts w:ascii="Segoe UI" w:hAnsi="Segoe UI" w:cs="Segoe UI"/>
      <w:sz w:val="18"/>
      <w:szCs w:val="18"/>
    </w:rPr>
  </w:style>
  <w:style w:type="character" w:styleId="Hyperlink">
    <w:name w:val="Hyperlink"/>
    <w:basedOn w:val="DefaultParagraphFont"/>
    <w:uiPriority w:val="99"/>
    <w:unhideWhenUsed/>
    <w:rsid w:val="00110CAA"/>
    <w:rPr>
      <w:color w:val="0563C1" w:themeColor="hyperlink"/>
      <w:u w:val="single"/>
    </w:rPr>
  </w:style>
  <w:style w:type="character" w:customStyle="1" w:styleId="UnresolvedMention">
    <w:name w:val="Unresolved Mention"/>
    <w:basedOn w:val="DefaultParagraphFont"/>
    <w:uiPriority w:val="99"/>
    <w:semiHidden/>
    <w:unhideWhenUsed/>
    <w:rsid w:val="00110CAA"/>
    <w:rPr>
      <w:color w:val="605E5C"/>
      <w:shd w:val="clear" w:color="auto" w:fill="E1DFDD"/>
    </w:rPr>
  </w:style>
  <w:style w:type="paragraph" w:styleId="Header">
    <w:name w:val="header"/>
    <w:basedOn w:val="Normal"/>
    <w:link w:val="HeaderChar"/>
    <w:uiPriority w:val="99"/>
    <w:unhideWhenUsed/>
    <w:rsid w:val="0019722E"/>
    <w:pPr>
      <w:tabs>
        <w:tab w:val="center" w:pos="4680"/>
        <w:tab w:val="right" w:pos="9360"/>
      </w:tabs>
    </w:pPr>
  </w:style>
  <w:style w:type="character" w:customStyle="1" w:styleId="HeaderChar">
    <w:name w:val="Header Char"/>
    <w:basedOn w:val="DefaultParagraphFont"/>
    <w:link w:val="Header"/>
    <w:uiPriority w:val="99"/>
    <w:rsid w:val="0019722E"/>
    <w:rPr>
      <w:sz w:val="24"/>
      <w:szCs w:val="24"/>
    </w:rPr>
  </w:style>
  <w:style w:type="paragraph" w:styleId="Footer">
    <w:name w:val="footer"/>
    <w:basedOn w:val="Normal"/>
    <w:link w:val="FooterChar"/>
    <w:uiPriority w:val="99"/>
    <w:unhideWhenUsed/>
    <w:rsid w:val="0019722E"/>
    <w:pPr>
      <w:tabs>
        <w:tab w:val="center" w:pos="4680"/>
        <w:tab w:val="right" w:pos="9360"/>
      </w:tabs>
    </w:pPr>
  </w:style>
  <w:style w:type="character" w:customStyle="1" w:styleId="FooterChar">
    <w:name w:val="Footer Char"/>
    <w:basedOn w:val="DefaultParagraphFont"/>
    <w:link w:val="Footer"/>
    <w:uiPriority w:val="99"/>
    <w:rsid w:val="001972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63">
      <w:bodyDiv w:val="1"/>
      <w:marLeft w:val="0"/>
      <w:marRight w:val="0"/>
      <w:marTop w:val="0"/>
      <w:marBottom w:val="0"/>
      <w:divBdr>
        <w:top w:val="none" w:sz="0" w:space="0" w:color="auto"/>
        <w:left w:val="none" w:sz="0" w:space="0" w:color="auto"/>
        <w:bottom w:val="none" w:sz="0" w:space="0" w:color="auto"/>
        <w:right w:val="none" w:sz="0" w:space="0" w:color="auto"/>
      </w:divBdr>
    </w:div>
    <w:div w:id="352803286">
      <w:bodyDiv w:val="1"/>
      <w:marLeft w:val="0"/>
      <w:marRight w:val="0"/>
      <w:marTop w:val="0"/>
      <w:marBottom w:val="0"/>
      <w:divBdr>
        <w:top w:val="none" w:sz="0" w:space="0" w:color="auto"/>
        <w:left w:val="none" w:sz="0" w:space="0" w:color="auto"/>
        <w:bottom w:val="none" w:sz="0" w:space="0" w:color="auto"/>
        <w:right w:val="none" w:sz="0" w:space="0" w:color="auto"/>
      </w:divBdr>
    </w:div>
    <w:div w:id="2017003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1seaport.com/" TargetMode="External"/><Relationship Id="rId13" Type="http://schemas.openxmlformats.org/officeDocument/2006/relationships/hyperlink" Target="https://www.cbtarchitects.com/" TargetMode="External"/><Relationship Id="rId18" Type="http://schemas.openxmlformats.org/officeDocument/2006/relationships/hyperlink" Target="http://www.101seaport.com/" TargetMode="External"/><Relationship Id="rId26" Type="http://schemas.openxmlformats.org/officeDocument/2006/relationships/hyperlink" Target="http://www.usa.skanska.com" TargetMode="External"/><Relationship Id="rId3" Type="http://schemas.openxmlformats.org/officeDocument/2006/relationships/settings" Target="settings.xml"/><Relationship Id="rId21" Type="http://schemas.openxmlformats.org/officeDocument/2006/relationships/hyperlink" Target="https://www.boston.gov/departments/parks-and-recreation/martins-park" TargetMode="External"/><Relationship Id="rId7" Type="http://schemas.openxmlformats.org/officeDocument/2006/relationships/hyperlink" Target="http://www.usa.skanska.com/" TargetMode="External"/><Relationship Id="rId12" Type="http://schemas.openxmlformats.org/officeDocument/2006/relationships/hyperlink" Target="http://alexion.com/" TargetMode="External"/><Relationship Id="rId17" Type="http://schemas.openxmlformats.org/officeDocument/2006/relationships/hyperlink" Target="http://www.amazedesign.com/" TargetMode="External"/><Relationship Id="rId25" Type="http://schemas.openxmlformats.org/officeDocument/2006/relationships/hyperlink" Target="mailto:nick.derasmo@skanska.com" TargetMode="External"/><Relationship Id="rId2" Type="http://schemas.openxmlformats.org/officeDocument/2006/relationships/styles" Target="styles.xml"/><Relationship Id="rId16" Type="http://schemas.openxmlformats.org/officeDocument/2006/relationships/hyperlink" Target="http://www.triviuminteractive.com/" TargetMode="External"/><Relationship Id="rId20" Type="http://schemas.openxmlformats.org/officeDocument/2006/relationships/hyperlink" Target="https://www.twodrydock.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tc.com/en/" TargetMode="External"/><Relationship Id="rId24" Type="http://schemas.openxmlformats.org/officeDocument/2006/relationships/hyperlink" Target="mailto:rchesess@solomonmccown.com" TargetMode="External"/><Relationship Id="rId5" Type="http://schemas.openxmlformats.org/officeDocument/2006/relationships/footnotes" Target="footnotes.xml"/><Relationship Id="rId15" Type="http://schemas.openxmlformats.org/officeDocument/2006/relationships/hyperlink" Target="http://copley-wolff.com/" TargetMode="External"/><Relationship Id="rId23" Type="http://schemas.openxmlformats.org/officeDocument/2006/relationships/hyperlink" Target="https://www.theharlo.com/?utm_source=PayPerClick-GPROP&amp;utm_medium=Google-CPC&amp;utm_campaign=HPN-The-Harlo-Brand-Keywords&amp;utm_term=the%20harlo&amp;gclid=CjwKCAjwzenbBRB3EiwAItS-uygKbv3ECf9uQa638sVMbPA0eqk98-T2lrrQyoGWnn9fWhQ1ERO5tRoCkgUQAvD_BwE" TargetMode="External"/><Relationship Id="rId28" Type="http://schemas.openxmlformats.org/officeDocument/2006/relationships/fontTable" Target="fontTable.xml"/><Relationship Id="rId10" Type="http://schemas.openxmlformats.org/officeDocument/2006/relationships/hyperlink" Target="http://121seaport.com/" TargetMode="External"/><Relationship Id="rId19" Type="http://schemas.openxmlformats.org/officeDocument/2006/relationships/hyperlink" Target="http://www.watermarkseaport.com/" TargetMode="External"/><Relationship Id="rId4" Type="http://schemas.openxmlformats.org/officeDocument/2006/relationships/webSettings" Target="webSettings.xml"/><Relationship Id="rId9" Type="http://schemas.openxmlformats.org/officeDocument/2006/relationships/hyperlink" Target="http://www.121seaport.com" TargetMode="External"/><Relationship Id="rId14" Type="http://schemas.openxmlformats.org/officeDocument/2006/relationships/hyperlink" Target="https://www.usa.skanska.com/who-we-are/media/press-releases/169915/Skanska-USA-Reveals-Details-of-Shipwreck-Discovery-at-its-121-Seaport-Project-Site" TargetMode="External"/><Relationship Id="rId22" Type="http://schemas.openxmlformats.org/officeDocument/2006/relationships/hyperlink" Target="http://www.teammr8.or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Legocki, Chris</dc:creator>
  <cp:lastModifiedBy>Cesarini, Christina</cp:lastModifiedBy>
  <cp:revision>2</cp:revision>
  <dcterms:created xsi:type="dcterms:W3CDTF">2018-09-04T14:05:00Z</dcterms:created>
  <dcterms:modified xsi:type="dcterms:W3CDTF">2018-09-04T14:05:00Z</dcterms:modified>
</cp:coreProperties>
</file>