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77C8" w:rsidRDefault="002377C8">
      <w:pPr>
        <w:pStyle w:val="Nagwek"/>
        <w:tabs>
          <w:tab w:val="clear" w:pos="9072"/>
          <w:tab w:val="right" w:pos="9046"/>
        </w:tabs>
        <w:spacing w:line="276" w:lineRule="auto"/>
        <w:jc w:val="both"/>
        <w:rPr>
          <w:rFonts w:ascii="Arial" w:eastAsia="Arial" w:hAnsi="Arial" w:cs="Arial"/>
          <w:sz w:val="22"/>
          <w:szCs w:val="22"/>
        </w:rPr>
      </w:pPr>
    </w:p>
    <w:p w:rsidR="002377C8" w:rsidRDefault="00803A3C">
      <w:pPr>
        <w:pStyle w:val="Nagwek"/>
        <w:tabs>
          <w:tab w:val="clear" w:pos="9072"/>
          <w:tab w:val="right" w:pos="9046"/>
        </w:tabs>
        <w:spacing w:line="276" w:lineRule="auto"/>
        <w:jc w:val="right"/>
        <w:rPr>
          <w:rFonts w:ascii="Arial" w:eastAsia="Arial" w:hAnsi="Arial" w:cs="Arial"/>
          <w:b/>
          <w:bCs/>
          <w:sz w:val="28"/>
          <w:szCs w:val="28"/>
        </w:rPr>
      </w:pPr>
      <w:r>
        <w:rPr>
          <w:rFonts w:ascii="Arial" w:hAnsi="Arial"/>
          <w:sz w:val="22"/>
          <w:szCs w:val="22"/>
        </w:rPr>
        <w:t>Prague</w:t>
      </w:r>
      <w:r w:rsidR="00072D12">
        <w:rPr>
          <w:rFonts w:ascii="Arial" w:hAnsi="Arial"/>
          <w:sz w:val="22"/>
          <w:szCs w:val="22"/>
        </w:rPr>
        <w:t xml:space="preserve">, </w:t>
      </w:r>
      <w:r>
        <w:rPr>
          <w:rFonts w:ascii="Arial" w:hAnsi="Arial"/>
          <w:sz w:val="22"/>
          <w:szCs w:val="22"/>
        </w:rPr>
        <w:t>10</w:t>
      </w:r>
      <w:r w:rsidR="00072D12">
        <w:rPr>
          <w:rFonts w:ascii="Arial" w:hAnsi="Arial"/>
          <w:sz w:val="22"/>
          <w:szCs w:val="22"/>
        </w:rPr>
        <w:t xml:space="preserve"> October 2018</w:t>
      </w:r>
    </w:p>
    <w:p w:rsidR="002377C8" w:rsidRDefault="002377C8">
      <w:pPr>
        <w:pStyle w:val="Nagwek"/>
        <w:tabs>
          <w:tab w:val="clear" w:pos="9072"/>
          <w:tab w:val="right" w:pos="9046"/>
        </w:tabs>
        <w:spacing w:line="276" w:lineRule="auto"/>
        <w:rPr>
          <w:rFonts w:ascii="Arial" w:eastAsia="Arial" w:hAnsi="Arial" w:cs="Arial"/>
          <w:sz w:val="28"/>
          <w:szCs w:val="28"/>
        </w:rPr>
      </w:pPr>
    </w:p>
    <w:p w:rsidR="002377C8" w:rsidRDefault="00072D12">
      <w:pPr>
        <w:pStyle w:val="Nagwek"/>
        <w:tabs>
          <w:tab w:val="clear" w:pos="9072"/>
          <w:tab w:val="right" w:pos="9046"/>
        </w:tabs>
        <w:spacing w:line="276" w:lineRule="auto"/>
        <w:rPr>
          <w:rFonts w:ascii="Arial" w:eastAsia="Arial" w:hAnsi="Arial" w:cs="Arial"/>
          <w:sz w:val="44"/>
          <w:szCs w:val="44"/>
        </w:rPr>
      </w:pPr>
      <w:r>
        <w:rPr>
          <w:rFonts w:ascii="Arial" w:hAnsi="Arial"/>
          <w:sz w:val="44"/>
          <w:szCs w:val="44"/>
        </w:rPr>
        <w:t>Press Release</w:t>
      </w:r>
    </w:p>
    <w:p w:rsidR="002377C8" w:rsidRDefault="002377C8">
      <w:pPr>
        <w:pStyle w:val="Normalny"/>
        <w:spacing w:after="40"/>
        <w:rPr>
          <w:rFonts w:ascii="Arial" w:eastAsia="Arial" w:hAnsi="Arial" w:cs="Arial"/>
          <w:lang w:val="en-US"/>
        </w:rPr>
      </w:pPr>
    </w:p>
    <w:p w:rsidR="002377C8" w:rsidRDefault="002377C8">
      <w:pPr>
        <w:pStyle w:val="Normalny"/>
        <w:spacing w:after="40"/>
        <w:rPr>
          <w:rFonts w:ascii="Arial" w:eastAsia="Arial" w:hAnsi="Arial" w:cs="Arial"/>
          <w:lang w:val="en-US"/>
        </w:rPr>
      </w:pPr>
    </w:p>
    <w:p w:rsidR="002377C8" w:rsidRDefault="00072D12">
      <w:pPr>
        <w:pStyle w:val="Normalny"/>
        <w:spacing w:after="40"/>
        <w:rPr>
          <w:rFonts w:ascii="SkanskaSansPro-Bold" w:eastAsia="SkanskaSansPro-Bold" w:hAnsi="SkanskaSansPro-Bold" w:cs="SkanskaSansPro-Bold"/>
          <w:b/>
          <w:bCs/>
          <w:sz w:val="20"/>
          <w:szCs w:val="20"/>
          <w:lang w:val="en-US"/>
        </w:rPr>
      </w:pPr>
      <w:r>
        <w:rPr>
          <w:rFonts w:ascii="Arial" w:hAnsi="Arial"/>
          <w:b/>
          <w:bCs/>
          <w:sz w:val="32"/>
          <w:szCs w:val="32"/>
          <w:lang w:val="en-US"/>
        </w:rPr>
        <w:t xml:space="preserve">CEE investment market sets course for new growth frontiers </w:t>
      </w:r>
      <w:bookmarkStart w:id="0" w:name="_GoBack"/>
      <w:bookmarkEnd w:id="0"/>
    </w:p>
    <w:p w:rsidR="002377C8" w:rsidRDefault="00072D12">
      <w:pPr>
        <w:pStyle w:val="Normalny"/>
        <w:spacing w:after="0" w:line="240" w:lineRule="auto"/>
        <w:rPr>
          <w:rFonts w:ascii="Arial" w:eastAsia="Arial" w:hAnsi="Arial" w:cs="Arial"/>
          <w:b/>
          <w:bCs/>
          <w:color w:val="222222"/>
          <w:u w:color="222222"/>
          <w:lang w:val="en-US"/>
        </w:rPr>
      </w:pPr>
      <w:r>
        <w:rPr>
          <w:rFonts w:ascii="Arial" w:hAnsi="Arial"/>
          <w:b/>
          <w:bCs/>
          <w:color w:val="222222"/>
          <w:u w:color="222222"/>
          <w:lang w:val="en-US"/>
        </w:rPr>
        <w:t xml:space="preserve">The competitive advantages and strengths of the CEE region are well known to investors. But new factors have emerged that may play a central role in the medium and long term. </w:t>
      </w:r>
      <w:r w:rsidRPr="00982973">
        <w:rPr>
          <w:rFonts w:ascii="Arial" w:hAnsi="Arial"/>
          <w:bCs/>
          <w:color w:val="222222"/>
          <w:u w:color="222222"/>
          <w:lang w:val="en-US"/>
        </w:rPr>
        <w:t xml:space="preserve">For example, there is a marked shift from cost efficiency to quality and knowledge-based operations across all sectors of the CEE economy. How is the tenant structure in CEE changing? Does growth in the BSS sector show any signs of slowing down? How do the legal and fiscal structures in CEE countries compare to those in Western Europe? All the answers to these and other important questions can be found in this year’s </w:t>
      </w:r>
      <w:r w:rsidRPr="00982973">
        <w:rPr>
          <w:rFonts w:ascii="Arial" w:hAnsi="Arial"/>
          <w:bCs/>
          <w:i/>
          <w:iCs/>
          <w:color w:val="222222"/>
          <w:u w:color="222222"/>
          <w:lang w:val="en-US"/>
        </w:rPr>
        <w:t>CEE Investment Report 2018: New Frontiers of Growth</w:t>
      </w:r>
      <w:r w:rsidRPr="00982973">
        <w:rPr>
          <w:rFonts w:ascii="Arial" w:hAnsi="Arial"/>
          <w:bCs/>
          <w:color w:val="222222"/>
          <w:u w:color="222222"/>
          <w:lang w:val="en-US"/>
        </w:rPr>
        <w:t xml:space="preserve"> by Skanska, CBRE, Dentons and PwC.</w:t>
      </w:r>
      <w:r>
        <w:rPr>
          <w:rFonts w:ascii="Arial" w:hAnsi="Arial"/>
          <w:b/>
          <w:bCs/>
          <w:color w:val="222222"/>
          <w:u w:color="222222"/>
          <w:lang w:val="en-US"/>
        </w:rPr>
        <w:t xml:space="preserve"> </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color w:val="222222"/>
          <w:u w:color="222222"/>
          <w:lang w:val="en-US"/>
        </w:rPr>
      </w:pPr>
      <w:r>
        <w:rPr>
          <w:rFonts w:ascii="Arial" w:hAnsi="Arial"/>
          <w:color w:val="222222"/>
          <w:u w:color="222222"/>
          <w:lang w:val="en-US"/>
        </w:rPr>
        <w:t xml:space="preserve">Since the 2004 enlargement, CEE has been the fastest growing region in the European Union, with a growth rate of 4.2% in H1 2018, double the EU average. </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color w:val="222222"/>
          <w:u w:color="222222"/>
          <w:lang w:val="en-US"/>
        </w:rPr>
      </w:pPr>
      <w:r>
        <w:rPr>
          <w:rFonts w:ascii="Arial" w:hAnsi="Arial"/>
          <w:color w:val="222222"/>
          <w:u w:color="222222"/>
          <w:lang w:val="en-US"/>
        </w:rPr>
        <w:t>“Over the last 10 years, Central and Eastern Europe has evolved from an emerging market to one that is now increasingly regarded as mature. The recent upgrade of Poland by FTSE Russell to “developed market” status in its 2018 classification is an example of CEE countries being regarded as on a par with US, the UK and Germany. It’s great news for the whole region and how it’s perceived internationally. For the commercial real estate sector, CEE has been a key target for several years now. It’s a profitable, safe and stable region for doing business,” says Adrian Karczewicz, Head of Divestments at Skanska’s commercial development business in CEE.</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160" w:line="252" w:lineRule="auto"/>
        <w:rPr>
          <w:rFonts w:ascii="Arial" w:eastAsia="Arial" w:hAnsi="Arial" w:cs="Arial"/>
          <w:color w:val="222222"/>
          <w:u w:color="222222"/>
          <w:lang w:val="en-US"/>
        </w:rPr>
      </w:pPr>
      <w:r>
        <w:rPr>
          <w:rFonts w:ascii="Arial" w:hAnsi="Arial"/>
          <w:color w:val="222222"/>
          <w:u w:color="222222"/>
          <w:lang w:val="en-US"/>
        </w:rPr>
        <w:t>Investment activity is also very high. In 2018, almost EUR 5.8 billion will be invested in the CEE office market. Investors in the region come from all over the world – the US, Western Europe, Israel and South Africa. Commercial real estate market forecasts say that this year’s investment volumes could exceed EUR 12bn.</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b/>
          <w:bCs/>
          <w:color w:val="222222"/>
          <w:u w:color="222222"/>
          <w:lang w:val="en-US"/>
        </w:rPr>
      </w:pPr>
      <w:r>
        <w:rPr>
          <w:rFonts w:ascii="Arial" w:hAnsi="Arial"/>
          <w:b/>
          <w:bCs/>
          <w:color w:val="222222"/>
          <w:u w:color="222222"/>
          <w:lang w:val="en-US"/>
        </w:rPr>
        <w:t>CEE legal and fiscal structures</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color w:val="222222"/>
          <w:u w:color="222222"/>
          <w:lang w:val="en-US"/>
        </w:rPr>
      </w:pPr>
      <w:r>
        <w:rPr>
          <w:rFonts w:ascii="Arial" w:hAnsi="Arial"/>
          <w:color w:val="222222"/>
          <w:u w:color="222222"/>
          <w:lang w:val="en-US"/>
        </w:rPr>
        <w:t xml:space="preserve">CEE has become a mature market in both economic and legal terms. Transaction structures, tax rates and other costs in CEE are comparable to Western standards. Transaction structures similar to, or modeled on Western standards, are familiar </w:t>
      </w:r>
      <w:proofErr w:type="gramStart"/>
      <w:r>
        <w:rPr>
          <w:rFonts w:ascii="Arial" w:hAnsi="Arial"/>
          <w:color w:val="222222"/>
          <w:u w:color="222222"/>
          <w:lang w:val="en-US"/>
        </w:rPr>
        <w:t>to,</w:t>
      </w:r>
      <w:proofErr w:type="gramEnd"/>
      <w:r>
        <w:rPr>
          <w:rFonts w:ascii="Arial" w:hAnsi="Arial"/>
          <w:color w:val="222222"/>
          <w:u w:color="222222"/>
          <w:lang w:val="en-US"/>
        </w:rPr>
        <w:t xml:space="preserve"> and comfortable for investors. This provides an understandable transaction environment that is subject to a rule of law that generally accords the same level of security as is accepted by investors in more mature jurisdictions, such as Germany, the Netherlands, and the like. Likewise, transaction costs are competitive with or even more favorable than in such mature markets. The CEE region offers very favorable conditions in various aspects, such as real estate transfer tax and CIT rates.</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b/>
          <w:bCs/>
          <w:color w:val="222222"/>
          <w:u w:color="222222"/>
          <w:lang w:val="en-US"/>
        </w:rPr>
      </w:pPr>
      <w:r>
        <w:rPr>
          <w:rFonts w:ascii="Arial" w:hAnsi="Arial"/>
          <w:b/>
          <w:bCs/>
          <w:color w:val="222222"/>
          <w:u w:color="222222"/>
          <w:lang w:val="en-US"/>
        </w:rPr>
        <w:t>Labor market: transition from cost-efficiency to a knowledge-based economy</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color w:val="222222"/>
          <w:u w:color="222222"/>
          <w:lang w:val="en-US"/>
        </w:rPr>
      </w:pPr>
      <w:r>
        <w:rPr>
          <w:rFonts w:ascii="Arial" w:hAnsi="Arial"/>
          <w:color w:val="222222"/>
          <w:u w:color="222222"/>
          <w:lang w:val="en-US"/>
        </w:rPr>
        <w:t>At the same time, CEE is in the midst of a very important business transition: from economic growth which is based on wage competitiveness to growth which is based on knowledge. This upgrading process can be seen in the demand for skills. The number of jobs requiring high-level expertise is growing fastest in CEE, whereas the demand for jobs which only require elementary capabilities is stagnating. The CEE is gradually changing from being a supplier of workers to being a region which attracts foreign staff. Finally, labor market shifts as well as demographic and social trends are driving increased interest in modern workplaces.</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b/>
          <w:bCs/>
          <w:color w:val="222222"/>
          <w:u w:color="222222"/>
          <w:lang w:val="en-US"/>
        </w:rPr>
      </w:pPr>
      <w:r>
        <w:rPr>
          <w:rFonts w:ascii="Arial" w:hAnsi="Arial"/>
          <w:b/>
          <w:bCs/>
          <w:color w:val="222222"/>
          <w:u w:color="222222"/>
          <w:lang w:val="en-US"/>
        </w:rPr>
        <w:t>The office takes on a new role – an employer branding tool</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color w:val="222222"/>
          <w:u w:color="222222"/>
          <w:lang w:val="en-US"/>
        </w:rPr>
      </w:pPr>
      <w:r>
        <w:rPr>
          <w:rFonts w:ascii="Arial" w:hAnsi="Arial"/>
          <w:color w:val="222222"/>
          <w:u w:color="222222"/>
          <w:lang w:val="en-US"/>
        </w:rPr>
        <w:t xml:space="preserve">The labor market shift has resulted in the demand for highly-skilled employees. In this time of fierce competition for talents, the office space quality has become a powerful competitive </w:t>
      </w:r>
      <w:proofErr w:type="gramStart"/>
      <w:r>
        <w:rPr>
          <w:rFonts w:ascii="Arial" w:hAnsi="Arial"/>
          <w:color w:val="222222"/>
          <w:u w:color="222222"/>
          <w:lang w:val="en-US"/>
        </w:rPr>
        <w:t>advantage  that</w:t>
      </w:r>
      <w:proofErr w:type="gramEnd"/>
      <w:r>
        <w:rPr>
          <w:rFonts w:ascii="Arial" w:hAnsi="Arial"/>
          <w:color w:val="222222"/>
          <w:u w:color="222222"/>
          <w:lang w:val="en-US"/>
        </w:rPr>
        <w:t xml:space="preserve"> is having an impact across the region's office market. Demand for modern office space is very strong in CEE with net absorption in CEE's major cities in H1 2018 coming in at around 700,000 sqm. Strong demand generates strong development activity. This is borne out by CEE's performance where 6 million sqm of new office space, set to be completed in the next three years, will be added to the region's current modern office stock of 21.1 million sqm. This means an annual growth rate of close to nine per cent. </w:t>
      </w:r>
    </w:p>
    <w:p w:rsidR="002377C8" w:rsidRDefault="002377C8">
      <w:pPr>
        <w:pStyle w:val="Normalny"/>
        <w:spacing w:after="0" w:line="240" w:lineRule="auto"/>
        <w:rPr>
          <w:rFonts w:ascii="Arial" w:eastAsia="Arial" w:hAnsi="Arial" w:cs="Arial"/>
          <w:color w:val="222222"/>
          <w:u w:color="222222"/>
          <w:lang w:val="en-US"/>
        </w:rPr>
      </w:pPr>
    </w:p>
    <w:p w:rsidR="002377C8" w:rsidRDefault="00072D12">
      <w:pPr>
        <w:pStyle w:val="Normalny"/>
        <w:spacing w:after="0" w:line="240" w:lineRule="auto"/>
        <w:rPr>
          <w:rFonts w:ascii="Arial" w:eastAsia="Arial" w:hAnsi="Arial" w:cs="Arial"/>
          <w:color w:val="222222"/>
          <w:u w:color="222222"/>
          <w:lang w:val="en-US"/>
        </w:rPr>
      </w:pPr>
      <w:r>
        <w:rPr>
          <w:rFonts w:ascii="Arial" w:hAnsi="Arial"/>
          <w:color w:val="222222"/>
          <w:u w:color="222222"/>
          <w:lang w:val="en-US"/>
        </w:rPr>
        <w:t xml:space="preserve">Another notable change can be seen in the CEE's demand structure which is becoming significantly more varied. For nearly two decades, the business services sector, as one of the region's fastest growing and evolving sectors, has also been one of the largest office space tenants. Although an impending slowdown in the sector's growth rate has been predicted many times, it has failed to materialize. In fact, the sector's growth rate looks set to continue for the foreseeable future. However, the business services sector is not the only player generating demand for modern office. Public institutions have begun to move their headquarters to new modern office buildings with domestic enterprises expanding their office footprints as well. </w:t>
      </w:r>
    </w:p>
    <w:p w:rsidR="002377C8" w:rsidRDefault="002377C8">
      <w:pPr>
        <w:pStyle w:val="Normalny"/>
        <w:spacing w:after="0" w:line="240" w:lineRule="auto"/>
        <w:rPr>
          <w:rFonts w:ascii="SkanskaSansPro-Bold" w:eastAsia="SkanskaSansPro-Bold" w:hAnsi="SkanskaSansPro-Bold" w:cs="SkanskaSansPro-Bold"/>
          <w:b/>
          <w:bCs/>
          <w:sz w:val="20"/>
          <w:szCs w:val="20"/>
          <w:lang w:val="en-US"/>
        </w:rPr>
      </w:pPr>
    </w:p>
    <w:p w:rsidR="002377C8" w:rsidRDefault="00072D12">
      <w:pPr>
        <w:pStyle w:val="Normalny"/>
        <w:spacing w:after="300" w:line="240" w:lineRule="auto"/>
        <w:rPr>
          <w:rStyle w:val="Brak"/>
          <w:rFonts w:ascii="Arial" w:eastAsia="Arial" w:hAnsi="Arial" w:cs="Arial"/>
          <w:lang w:val="en-US"/>
        </w:rPr>
      </w:pPr>
      <w:r>
        <w:rPr>
          <w:rFonts w:ascii="Arial" w:hAnsi="Arial"/>
          <w:lang w:val="en-US"/>
        </w:rPr>
        <w:t xml:space="preserve">More information about the region's trends can be found in the </w:t>
      </w:r>
      <w:r>
        <w:rPr>
          <w:rFonts w:ascii="Arial" w:hAnsi="Arial"/>
          <w:b/>
          <w:bCs/>
          <w:lang w:val="en-US"/>
        </w:rPr>
        <w:t>CEE Investment Report 2018: New Frontiers of growth</w:t>
      </w:r>
      <w:r>
        <w:rPr>
          <w:rFonts w:ascii="Arial" w:hAnsi="Arial"/>
          <w:lang w:val="en-US"/>
        </w:rPr>
        <w:t>. The full version will be available to download on October 9</w:t>
      </w:r>
      <w:r>
        <w:rPr>
          <w:rFonts w:ascii="Arial" w:hAnsi="Arial"/>
          <w:vertAlign w:val="superscript"/>
          <w:lang w:val="en-US"/>
        </w:rPr>
        <w:t>th</w:t>
      </w:r>
      <w:r>
        <w:rPr>
          <w:rFonts w:ascii="Arial" w:hAnsi="Arial"/>
          <w:lang w:val="en-US"/>
        </w:rPr>
        <w:t xml:space="preserve">: </w:t>
      </w:r>
      <w:hyperlink r:id="rId6" w:history="1">
        <w:r>
          <w:rPr>
            <w:rStyle w:val="Hyperlink0"/>
          </w:rPr>
          <w:t>www.skanska.pl/CEEinvestmentreport2018</w:t>
        </w:r>
      </w:hyperlink>
      <w:r>
        <w:rPr>
          <w:rStyle w:val="Brak"/>
          <w:rFonts w:ascii="Arial" w:hAnsi="Arial"/>
          <w:lang w:val="en-US"/>
        </w:rPr>
        <w:t xml:space="preserve">. </w:t>
      </w:r>
    </w:p>
    <w:p w:rsidR="002377C8" w:rsidRDefault="002377C8">
      <w:pPr>
        <w:pStyle w:val="Normalny"/>
        <w:pBdr>
          <w:bottom w:val="single" w:sz="12" w:space="0" w:color="000000"/>
        </w:pBdr>
        <w:rPr>
          <w:sz w:val="14"/>
          <w:szCs w:val="14"/>
          <w:lang w:val="en-US"/>
        </w:rPr>
      </w:pPr>
    </w:p>
    <w:p w:rsidR="002377C8" w:rsidRDefault="002377C8">
      <w:pPr>
        <w:pStyle w:val="Normalny"/>
        <w:rPr>
          <w:rStyle w:val="Brak"/>
          <w:rFonts w:ascii="Arial" w:eastAsia="Arial" w:hAnsi="Arial" w:cs="Arial"/>
          <w:i/>
          <w:iCs/>
          <w:color w:val="595959"/>
          <w:sz w:val="20"/>
          <w:szCs w:val="20"/>
          <w:u w:color="595959"/>
          <w:lang w:val="en-US"/>
        </w:rPr>
      </w:pPr>
    </w:p>
    <w:p w:rsidR="002377C8" w:rsidRDefault="00072D12">
      <w:pPr>
        <w:pStyle w:val="Normalny"/>
        <w:rPr>
          <w:rStyle w:val="Brak"/>
          <w:rFonts w:ascii="Arial" w:eastAsia="Arial" w:hAnsi="Arial" w:cs="Arial"/>
          <w:b/>
          <w:bCs/>
          <w:i/>
          <w:iCs/>
          <w:color w:val="595959"/>
          <w:sz w:val="20"/>
          <w:szCs w:val="20"/>
          <w:u w:color="595959"/>
          <w:lang w:val="en-US"/>
        </w:rPr>
      </w:pPr>
      <w:proofErr w:type="gramStart"/>
      <w:r>
        <w:rPr>
          <w:rStyle w:val="Brak"/>
          <w:rFonts w:ascii="Arial" w:hAnsi="Arial"/>
          <w:b/>
          <w:bCs/>
          <w:i/>
          <w:iCs/>
          <w:color w:val="595959"/>
          <w:sz w:val="20"/>
          <w:szCs w:val="20"/>
          <w:u w:color="595959"/>
          <w:lang w:val="en-US"/>
        </w:rPr>
        <w:t>CBRE  Group</w:t>
      </w:r>
      <w:proofErr w:type="gramEnd"/>
      <w:r>
        <w:rPr>
          <w:rStyle w:val="Brak"/>
          <w:rFonts w:ascii="Arial" w:hAnsi="Arial"/>
          <w:b/>
          <w:bCs/>
          <w:i/>
          <w:iCs/>
          <w:color w:val="595959"/>
          <w:sz w:val="20"/>
          <w:szCs w:val="20"/>
          <w:u w:color="595959"/>
          <w:lang w:val="en-US"/>
        </w:rPr>
        <w:t xml:space="preserve">,  Inc.  </w:t>
      </w:r>
    </w:p>
    <w:p w:rsidR="002377C8" w:rsidRDefault="00072D12">
      <w:pPr>
        <w:pStyle w:val="Normalny"/>
        <w:rPr>
          <w:rStyle w:val="Brak"/>
          <w:rFonts w:ascii="Arial" w:eastAsia="Arial" w:hAnsi="Arial" w:cs="Arial"/>
          <w:i/>
          <w:iCs/>
          <w:color w:val="595959"/>
          <w:sz w:val="20"/>
          <w:szCs w:val="20"/>
          <w:u w:color="595959"/>
          <w:lang w:val="en-US"/>
        </w:rPr>
      </w:pPr>
      <w:proofErr w:type="gramStart"/>
      <w:r>
        <w:rPr>
          <w:rStyle w:val="Brak"/>
          <w:rFonts w:ascii="Arial" w:hAnsi="Arial"/>
          <w:i/>
          <w:iCs/>
          <w:color w:val="595959"/>
          <w:sz w:val="20"/>
          <w:szCs w:val="20"/>
          <w:u w:color="595959"/>
          <w:lang w:val="en-US"/>
        </w:rPr>
        <w:t>CBRE  Group</w:t>
      </w:r>
      <w:proofErr w:type="gramEnd"/>
      <w:r>
        <w:rPr>
          <w:rStyle w:val="Brak"/>
          <w:rFonts w:ascii="Arial" w:hAnsi="Arial"/>
          <w:i/>
          <w:iCs/>
          <w:color w:val="595959"/>
          <w:sz w:val="20"/>
          <w:szCs w:val="20"/>
          <w:u w:color="595959"/>
          <w:lang w:val="en-US"/>
        </w:rPr>
        <w:t xml:space="preserve">,  Inc.  (NYSE:CBG),  a  Fortune  500  and  S&amp;P  500  company  headquartered  in  Los  Angeles,  is  the  world’s  largest  commercial  real  estate  services  and  investment  firm  (based  on  2017  revenue).    The  company  has  more  than  80,000  employees  (excluding  affiliates),  and  serves  real  estate  investors  and  occupiers  through  approximately  450  offices  (excluding  affiliates)  worldwide.    CBRE  offers  a  broad  range  of  integrated  services,  including  facilities,  transaction  and  project  management;  property  management;  investment  management;  appraisal  and  valuation;  property  leasing;  strategic  consulting;  property  sales;  mortgage  services  and  </w:t>
      </w:r>
      <w:proofErr w:type="gramStart"/>
      <w:r>
        <w:rPr>
          <w:rStyle w:val="Brak"/>
          <w:rFonts w:ascii="Arial" w:hAnsi="Arial"/>
          <w:i/>
          <w:iCs/>
          <w:color w:val="595959"/>
          <w:sz w:val="20"/>
          <w:szCs w:val="20"/>
          <w:u w:color="595959"/>
          <w:lang w:val="en-US"/>
        </w:rPr>
        <w:t>development  services</w:t>
      </w:r>
      <w:proofErr w:type="gramEnd"/>
      <w:r>
        <w:rPr>
          <w:rStyle w:val="Brak"/>
          <w:rFonts w:ascii="Arial" w:hAnsi="Arial"/>
          <w:i/>
          <w:iCs/>
          <w:color w:val="595959"/>
          <w:sz w:val="20"/>
          <w:szCs w:val="20"/>
          <w:u w:color="595959"/>
          <w:lang w:val="en-US"/>
        </w:rPr>
        <w:t xml:space="preserve">.    </w:t>
      </w:r>
    </w:p>
    <w:p w:rsidR="002377C8" w:rsidRDefault="00072D12">
      <w:pPr>
        <w:pStyle w:val="Normalny"/>
        <w:rPr>
          <w:rStyle w:val="Brak"/>
          <w:rFonts w:ascii="Times New Roman" w:eastAsia="Times New Roman" w:hAnsi="Times New Roman" w:cs="Times New Roman"/>
          <w:sz w:val="24"/>
          <w:szCs w:val="24"/>
        </w:rPr>
      </w:pPr>
      <w:proofErr w:type="gramStart"/>
      <w:r>
        <w:rPr>
          <w:rStyle w:val="Brak"/>
          <w:rFonts w:ascii="Arial" w:hAnsi="Arial"/>
          <w:i/>
          <w:iCs/>
          <w:color w:val="595959"/>
          <w:sz w:val="20"/>
          <w:szCs w:val="20"/>
          <w:u w:color="595959"/>
          <w:lang w:val="en-US"/>
        </w:rPr>
        <w:t>Please  visit</w:t>
      </w:r>
      <w:proofErr w:type="gramEnd"/>
      <w:r>
        <w:rPr>
          <w:rStyle w:val="Brak"/>
          <w:rFonts w:ascii="Arial" w:hAnsi="Arial"/>
          <w:i/>
          <w:iCs/>
          <w:color w:val="595959"/>
          <w:sz w:val="20"/>
          <w:szCs w:val="20"/>
          <w:u w:color="595959"/>
          <w:lang w:val="en-US"/>
        </w:rPr>
        <w:t xml:space="preserve">  our website at: </w:t>
      </w:r>
      <w:hyperlink r:id="rId7" w:history="1">
        <w:r>
          <w:rPr>
            <w:rStyle w:val="Hyperlink1"/>
          </w:rPr>
          <w:t>www.cbre.pl</w:t>
        </w:r>
      </w:hyperlink>
      <w:r>
        <w:rPr>
          <w:rStyle w:val="Brak"/>
          <w:i/>
          <w:iCs/>
          <w:color w:val="0000FF"/>
          <w:sz w:val="20"/>
          <w:szCs w:val="20"/>
          <w:u w:val="single" w:color="0000FF"/>
          <w:lang w:val="en-US"/>
        </w:rPr>
        <w:t>.</w:t>
      </w:r>
      <w:r>
        <w:rPr>
          <w:rStyle w:val="Brak"/>
          <w:lang w:val="en-US"/>
        </w:rPr>
        <w:t xml:space="preserve"> </w:t>
      </w:r>
    </w:p>
    <w:p w:rsidR="002377C8" w:rsidRDefault="00072D12">
      <w:pPr>
        <w:pStyle w:val="Normalny"/>
        <w:rPr>
          <w:rStyle w:val="Brak"/>
          <w:rFonts w:ascii="Arial" w:eastAsia="Arial" w:hAnsi="Arial" w:cs="Arial"/>
          <w:b/>
          <w:bCs/>
          <w:i/>
          <w:iCs/>
          <w:color w:val="595959"/>
          <w:sz w:val="20"/>
          <w:szCs w:val="20"/>
          <w:u w:color="595959"/>
          <w:lang w:val="en-US"/>
        </w:rPr>
      </w:pPr>
      <w:r>
        <w:rPr>
          <w:rStyle w:val="Brak"/>
          <w:rFonts w:ascii="Arial" w:hAnsi="Arial"/>
          <w:b/>
          <w:bCs/>
          <w:i/>
          <w:iCs/>
          <w:color w:val="595959"/>
          <w:sz w:val="20"/>
          <w:szCs w:val="20"/>
          <w:u w:color="595959"/>
          <w:lang w:val="en-US"/>
        </w:rPr>
        <w:t>Dentons</w:t>
      </w:r>
    </w:p>
    <w:p w:rsidR="002377C8" w:rsidRDefault="00072D12">
      <w:pPr>
        <w:pStyle w:val="Nagwek"/>
        <w:tabs>
          <w:tab w:val="clear" w:pos="9072"/>
          <w:tab w:val="right" w:pos="9046"/>
        </w:tabs>
        <w:rPr>
          <w:rStyle w:val="Brak"/>
          <w:rFonts w:ascii="Arial" w:eastAsia="Arial" w:hAnsi="Arial" w:cs="Arial"/>
          <w:i/>
          <w:iCs/>
          <w:color w:val="595959"/>
          <w:u w:color="595959"/>
        </w:rPr>
      </w:pPr>
      <w:r>
        <w:rPr>
          <w:rStyle w:val="Brak"/>
          <w:rFonts w:ascii="Arial" w:hAnsi="Arial"/>
          <w:i/>
          <w:iCs/>
          <w:color w:val="595959"/>
          <w:u w:color="595959"/>
        </w:rPr>
        <w:lastRenderedPageBreak/>
        <w:t>Dentons is the world's first polycentric global law firm, connected to the communities where its clients want to do business, offering legal counsel from 8,800 lawyers in 158 locations. Committed to challenging the profession's status quo, our in and of the community approach allows us to offer incisive legal and business solutions informed by lawyers who are intimately familiar with the cultural, regulatory and legal systems in their markets. The Global Real Estate Group at Dentons is the largest integrated cross-regional team of real estate lawyers worldwide with more than 1,400 professionals.  www.dentons.com</w:t>
      </w:r>
    </w:p>
    <w:p w:rsidR="002377C8" w:rsidRDefault="002377C8">
      <w:pPr>
        <w:pStyle w:val="Normalny"/>
        <w:rPr>
          <w:rStyle w:val="Brak"/>
          <w:rFonts w:ascii="Arial" w:eastAsia="Arial" w:hAnsi="Arial" w:cs="Arial"/>
          <w:i/>
          <w:iCs/>
          <w:color w:val="404040"/>
          <w:sz w:val="20"/>
          <w:szCs w:val="20"/>
          <w:u w:color="404040"/>
          <w:lang w:val="en-US"/>
        </w:rPr>
      </w:pPr>
    </w:p>
    <w:p w:rsidR="002377C8" w:rsidRDefault="00072D12">
      <w:pPr>
        <w:pStyle w:val="Normalny"/>
        <w:rPr>
          <w:rStyle w:val="Brak"/>
          <w:rFonts w:ascii="Arial" w:eastAsia="Arial" w:hAnsi="Arial" w:cs="Arial"/>
          <w:b/>
          <w:bCs/>
          <w:i/>
          <w:iCs/>
          <w:color w:val="595959"/>
          <w:sz w:val="20"/>
          <w:szCs w:val="20"/>
          <w:u w:color="595959"/>
          <w:lang w:val="en-US"/>
        </w:rPr>
      </w:pPr>
      <w:r>
        <w:rPr>
          <w:rStyle w:val="Brak"/>
          <w:rFonts w:ascii="Arial" w:hAnsi="Arial"/>
          <w:b/>
          <w:bCs/>
          <w:i/>
          <w:iCs/>
          <w:color w:val="595959"/>
          <w:sz w:val="20"/>
          <w:szCs w:val="20"/>
          <w:u w:color="595959"/>
          <w:lang w:val="en-US"/>
        </w:rPr>
        <w:t>PwC</w:t>
      </w:r>
    </w:p>
    <w:p w:rsidR="002377C8" w:rsidRDefault="00072D12">
      <w:pPr>
        <w:pStyle w:val="Normalny"/>
        <w:rPr>
          <w:rStyle w:val="Brak"/>
          <w:rFonts w:ascii="Arial" w:eastAsia="Arial" w:hAnsi="Arial" w:cs="Arial"/>
          <w:color w:val="222222"/>
          <w:sz w:val="20"/>
          <w:szCs w:val="20"/>
          <w:u w:color="222222"/>
          <w:shd w:val="clear" w:color="auto" w:fill="FFFFFF"/>
        </w:rPr>
      </w:pPr>
      <w:r>
        <w:rPr>
          <w:rStyle w:val="Brak"/>
          <w:rFonts w:ascii="Arial" w:hAnsi="Arial"/>
          <w:i/>
          <w:iCs/>
          <w:color w:val="595959"/>
          <w:sz w:val="20"/>
          <w:szCs w:val="20"/>
          <w:u w:color="595959"/>
          <w:lang w:val="en-US"/>
        </w:rPr>
        <w:t>At PwC, our purpose is to build trust in society and solve important problems. We’re a network of firms in 158 countries with over 250,000 people who are committed to delivering quality in assurance, advisory and tax services. Find out more and tell us what matters to you by visiting us at</w:t>
      </w:r>
      <w:r>
        <w:rPr>
          <w:rStyle w:val="Brak"/>
          <w:rFonts w:ascii="Arial" w:hAnsi="Arial"/>
          <w:b/>
          <w:bCs/>
          <w:i/>
          <w:iCs/>
          <w:color w:val="595959"/>
          <w:sz w:val="20"/>
          <w:szCs w:val="20"/>
          <w:u w:color="595959"/>
          <w:lang w:val="en-US"/>
        </w:rPr>
        <w:t xml:space="preserve"> </w:t>
      </w:r>
      <w:hyperlink r:id="rId8" w:history="1">
        <w:r>
          <w:rPr>
            <w:rStyle w:val="Hyperlink1"/>
          </w:rPr>
          <w:t>www.pwc.com</w:t>
        </w:r>
      </w:hyperlink>
      <w:r>
        <w:rPr>
          <w:rStyle w:val="Brak"/>
          <w:rFonts w:ascii="Arial" w:hAnsi="Arial"/>
          <w:i/>
          <w:iCs/>
          <w:color w:val="222222"/>
          <w:sz w:val="20"/>
          <w:szCs w:val="20"/>
          <w:u w:color="222222"/>
          <w:lang w:val="en-US"/>
        </w:rPr>
        <w:t>.</w:t>
      </w:r>
    </w:p>
    <w:p w:rsidR="002377C8" w:rsidRDefault="00072D12">
      <w:pPr>
        <w:pStyle w:val="Normalny"/>
        <w:rPr>
          <w:rStyle w:val="Brak"/>
          <w:rFonts w:ascii="Arial" w:eastAsia="Arial" w:hAnsi="Arial" w:cs="Arial"/>
          <w:b/>
          <w:bCs/>
          <w:i/>
          <w:iCs/>
          <w:color w:val="595959"/>
          <w:sz w:val="20"/>
          <w:szCs w:val="20"/>
          <w:u w:color="595959"/>
          <w:lang w:val="en-US"/>
        </w:rPr>
      </w:pPr>
      <w:r>
        <w:rPr>
          <w:rStyle w:val="Brak"/>
          <w:rFonts w:ascii="Arial" w:hAnsi="Arial"/>
          <w:b/>
          <w:bCs/>
          <w:i/>
          <w:iCs/>
          <w:color w:val="595959"/>
          <w:sz w:val="20"/>
          <w:szCs w:val="20"/>
          <w:u w:color="595959"/>
          <w:lang w:val="en-US"/>
        </w:rPr>
        <w:t xml:space="preserve">Skanska </w:t>
      </w:r>
    </w:p>
    <w:p w:rsidR="002377C8" w:rsidRDefault="00072D12">
      <w:pPr>
        <w:pStyle w:val="Nagwek"/>
        <w:tabs>
          <w:tab w:val="clear" w:pos="9072"/>
          <w:tab w:val="right" w:pos="9046"/>
        </w:tabs>
        <w:rPr>
          <w:rStyle w:val="Brak"/>
          <w:rFonts w:ascii="Arial" w:eastAsia="Arial" w:hAnsi="Arial" w:cs="Arial"/>
          <w:i/>
          <w:iCs/>
          <w:color w:val="595959"/>
          <w:u w:color="595959"/>
        </w:rPr>
      </w:pPr>
      <w:r>
        <w:rPr>
          <w:rStyle w:val="Brak"/>
          <w:rFonts w:ascii="Arial" w:hAnsi="Arial"/>
          <w:i/>
          <w:iCs/>
          <w:color w:val="595959"/>
          <w:u w:color="595959"/>
        </w:rPr>
        <w:t>Skanska is one of the leading development and construction companies in Europe. Outside the Nordics, the company has European operations in building construction and civil engineering in Poland, Czech Republic &amp; Slovakia, and the UK. Skanska develops commercial properties in select home markets in Poland, Czech Republic, Romania, and Hungary, while the residential development is active in Prague and Warsaw. Skanska also offers services in public-private partnerships. In 2017, Skanska had sales of SEK 37 billion and about 16,000 employees in its European operations.</w:t>
      </w:r>
    </w:p>
    <w:p w:rsidR="002377C8" w:rsidRDefault="002377C8">
      <w:pPr>
        <w:pStyle w:val="Nagwek"/>
        <w:tabs>
          <w:tab w:val="clear" w:pos="9072"/>
          <w:tab w:val="right" w:pos="9046"/>
        </w:tabs>
        <w:rPr>
          <w:rStyle w:val="Brak"/>
          <w:rFonts w:ascii="Arial" w:eastAsia="Arial" w:hAnsi="Arial" w:cs="Arial"/>
          <w:i/>
          <w:iCs/>
          <w:color w:val="595959"/>
          <w:u w:color="595959"/>
        </w:rPr>
      </w:pPr>
    </w:p>
    <w:p w:rsidR="002377C8" w:rsidRDefault="00072D12">
      <w:pPr>
        <w:pStyle w:val="Normalny"/>
        <w:rPr>
          <w:rStyle w:val="Brak"/>
          <w:rFonts w:ascii="Arial" w:eastAsia="Arial" w:hAnsi="Arial" w:cs="Arial"/>
          <w:i/>
          <w:iCs/>
          <w:color w:val="595959"/>
          <w:sz w:val="20"/>
          <w:szCs w:val="20"/>
          <w:u w:color="595959"/>
          <w:lang w:val="en-US"/>
        </w:rPr>
      </w:pPr>
      <w:r>
        <w:rPr>
          <w:rStyle w:val="Brak"/>
          <w:rFonts w:ascii="Arial" w:hAnsi="Arial"/>
          <w:i/>
          <w:iCs/>
          <w:color w:val="595959"/>
          <w:sz w:val="20"/>
          <w:szCs w:val="20"/>
          <w:u w:color="595959"/>
          <w:lang w:val="en-US"/>
        </w:rPr>
        <w:t xml:space="preserve">More information can be found at: </w:t>
      </w:r>
      <w:hyperlink r:id="rId9" w:history="1">
        <w:r>
          <w:rPr>
            <w:rStyle w:val="Hyperlink1"/>
          </w:rPr>
          <w:t>www.skanska.com/property</w:t>
        </w:r>
      </w:hyperlink>
      <w:r>
        <w:rPr>
          <w:rStyle w:val="Brak"/>
          <w:rFonts w:ascii="Arial" w:hAnsi="Arial"/>
          <w:i/>
          <w:iCs/>
          <w:color w:val="595959"/>
          <w:sz w:val="20"/>
          <w:szCs w:val="20"/>
          <w:u w:color="595959"/>
          <w:lang w:val="en-US"/>
        </w:rPr>
        <w:t xml:space="preserve"> </w:t>
      </w:r>
    </w:p>
    <w:p w:rsidR="002377C8" w:rsidRDefault="002377C8">
      <w:pPr>
        <w:pStyle w:val="Normalny"/>
        <w:rPr>
          <w:rStyle w:val="Brak"/>
          <w:rFonts w:ascii="Arial" w:eastAsia="Arial" w:hAnsi="Arial" w:cs="Arial"/>
          <w:i/>
          <w:iCs/>
          <w:color w:val="404040"/>
          <w:sz w:val="20"/>
          <w:szCs w:val="20"/>
          <w:u w:color="404040"/>
          <w:lang w:val="en-US"/>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rPr>
          <w:rStyle w:val="Brak"/>
          <w:rFonts w:ascii="Arial" w:eastAsia="Arial" w:hAnsi="Arial" w:cs="Arial"/>
          <w:b/>
          <w:bCs/>
          <w:color w:val="595959"/>
          <w:sz w:val="16"/>
          <w:szCs w:val="16"/>
          <w:u w:color="595959"/>
        </w:rPr>
      </w:pPr>
    </w:p>
    <w:p w:rsidR="002377C8" w:rsidRDefault="002377C8">
      <w:pPr>
        <w:pStyle w:val="Nagwek"/>
        <w:tabs>
          <w:tab w:val="clear" w:pos="4536"/>
          <w:tab w:val="clear" w:pos="9072"/>
        </w:tabs>
        <w:spacing w:line="276" w:lineRule="auto"/>
      </w:pPr>
    </w:p>
    <w:sectPr w:rsidR="002377C8" w:rsidSect="00D007F6">
      <w:headerReference w:type="default" r:id="rId10"/>
      <w:footerReference w:type="default" r:id="rId11"/>
      <w:pgSz w:w="11900" w:h="16840"/>
      <w:pgMar w:top="1535" w:right="1417" w:bottom="1417" w:left="1417" w:header="708" w:footer="5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60" w:rsidRDefault="005D2B60">
      <w:r>
        <w:separator/>
      </w:r>
    </w:p>
  </w:endnote>
  <w:endnote w:type="continuationSeparator" w:id="0">
    <w:p w:rsidR="005D2B60" w:rsidRDefault="005D2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kanskaSansPro-Bold">
    <w:altName w:val="Cambria"/>
    <w:panose1 w:val="020008030600000200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8" w:rsidRDefault="002377C8">
    <w:pPr>
      <w:pStyle w:val="Nagweki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60" w:rsidRDefault="005D2B60">
      <w:r>
        <w:separator/>
      </w:r>
    </w:p>
  </w:footnote>
  <w:footnote w:type="continuationSeparator" w:id="0">
    <w:p w:rsidR="005D2B60" w:rsidRDefault="005D2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8" w:rsidRDefault="00072D12">
    <w:pPr>
      <w:pStyle w:val="Nagwek"/>
      <w:tabs>
        <w:tab w:val="clear" w:pos="9072"/>
        <w:tab w:val="right" w:pos="9046"/>
      </w:tabs>
      <w:ind w:left="3540"/>
    </w:pPr>
    <w:r>
      <w:rPr>
        <w:noProof/>
        <w:lang w:val="cs-CZ"/>
      </w:rPr>
      <w:drawing>
        <wp:anchor distT="152400" distB="152400" distL="152400" distR="152400" simplePos="0" relativeHeight="251658240" behindDoc="1" locked="0" layoutInCell="1" allowOverlap="1">
          <wp:simplePos x="0" y="0"/>
          <wp:positionH relativeFrom="page">
            <wp:posOffset>884554</wp:posOffset>
          </wp:positionH>
          <wp:positionV relativeFrom="page">
            <wp:posOffset>520065</wp:posOffset>
          </wp:positionV>
          <wp:extent cx="729616" cy="185421"/>
          <wp:effectExtent l="0" t="0" r="0" b="0"/>
          <wp:wrapNone/>
          <wp:docPr id="1073741827" name="officeArt object" descr="2011_CBRE_Logo_Green"/>
          <wp:cNvGraphicFramePr/>
          <a:graphic xmlns:a="http://schemas.openxmlformats.org/drawingml/2006/main">
            <a:graphicData uri="http://schemas.openxmlformats.org/drawingml/2006/picture">
              <pic:pic xmlns:pic="http://schemas.openxmlformats.org/drawingml/2006/picture">
                <pic:nvPicPr>
                  <pic:cNvPr id="1073741827" name="2011_CBRE_Logo_Green" descr="2011_CBRE_Logo_Green"/>
                  <pic:cNvPicPr>
                    <a:picLocks noChangeAspect="1"/>
                  </pic:cNvPicPr>
                </pic:nvPicPr>
                <pic:blipFill>
                  <a:blip r:embed="rId1">
                    <a:extLst/>
                  </a:blip>
                  <a:stretch>
                    <a:fillRect/>
                  </a:stretch>
                </pic:blipFill>
                <pic:spPr>
                  <a:xfrm>
                    <a:off x="0" y="0"/>
                    <a:ext cx="729616" cy="185421"/>
                  </a:xfrm>
                  <a:prstGeom prst="rect">
                    <a:avLst/>
                  </a:prstGeom>
                  <a:ln w="12700" cap="flat">
                    <a:noFill/>
                    <a:miter lim="400000"/>
                  </a:ln>
                  <a:effectLst/>
                </pic:spPr>
              </pic:pic>
            </a:graphicData>
          </a:graphic>
        </wp:anchor>
      </w:drawing>
    </w:r>
    <w:r>
      <w:rPr>
        <w:noProof/>
        <w:lang w:val="cs-CZ"/>
      </w:rPr>
      <w:drawing>
        <wp:anchor distT="152400" distB="152400" distL="152400" distR="152400" simplePos="0" relativeHeight="251659264" behindDoc="1" locked="0" layoutInCell="1" allowOverlap="1">
          <wp:simplePos x="0" y="0"/>
          <wp:positionH relativeFrom="page">
            <wp:posOffset>3830954</wp:posOffset>
          </wp:positionH>
          <wp:positionV relativeFrom="page">
            <wp:posOffset>472440</wp:posOffset>
          </wp:positionV>
          <wp:extent cx="748031" cy="63246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2">
                    <a:extLst/>
                  </a:blip>
                  <a:stretch>
                    <a:fillRect/>
                  </a:stretch>
                </pic:blipFill>
                <pic:spPr>
                  <a:xfrm>
                    <a:off x="0" y="0"/>
                    <a:ext cx="748031" cy="632460"/>
                  </a:xfrm>
                  <a:prstGeom prst="rect">
                    <a:avLst/>
                  </a:prstGeom>
                  <a:ln w="12700" cap="flat">
                    <a:noFill/>
                    <a:miter lim="400000"/>
                  </a:ln>
                  <a:effectLst/>
                </pic:spPr>
              </pic:pic>
            </a:graphicData>
          </a:graphic>
        </wp:anchor>
      </w:drawing>
    </w:r>
  </w:p>
  <w:p w:rsidR="002377C8" w:rsidRDefault="00072D12">
    <w:pPr>
      <w:pStyle w:val="Normalny"/>
    </w:pPr>
    <w:r>
      <w:rPr>
        <w:rFonts w:ascii="Arial" w:hAnsi="Arial"/>
      </w:rPr>
      <w:t xml:space="preserve">                            </w:t>
    </w:r>
    <w:r>
      <w:rPr>
        <w:rFonts w:ascii="Arial" w:eastAsia="Arial" w:hAnsi="Arial" w:cs="Arial"/>
        <w:noProof/>
      </w:rPr>
      <w:drawing>
        <wp:inline distT="0" distB="0" distL="0" distR="0">
          <wp:extent cx="1162321" cy="298095"/>
          <wp:effectExtent l="0" t="0" r="0" b="0"/>
          <wp:docPr id="1073741825" name="officeArt object" descr="C:\Users\Maja Michalak\Desktop\Dentons-logo.png"/>
          <wp:cNvGraphicFramePr/>
          <a:graphic xmlns:a="http://schemas.openxmlformats.org/drawingml/2006/main">
            <a:graphicData uri="http://schemas.openxmlformats.org/drawingml/2006/picture">
              <pic:pic xmlns:pic="http://schemas.openxmlformats.org/drawingml/2006/picture">
                <pic:nvPicPr>
                  <pic:cNvPr id="1073741825" name="C:\Users\Maja Michalak\Desktop\Dentons-logo.png" descr="C:\Users\Maja Michalak\Desktop\Dentons-logo.png"/>
                  <pic:cNvPicPr>
                    <a:picLocks noChangeAspect="1"/>
                  </pic:cNvPicPr>
                </pic:nvPicPr>
                <pic:blipFill>
                  <a:blip r:embed="rId3">
                    <a:extLst/>
                  </a:blip>
                  <a:srcRect/>
                  <a:stretch>
                    <a:fillRect/>
                  </a:stretch>
                </pic:blipFill>
                <pic:spPr>
                  <a:xfrm>
                    <a:off x="0" y="0"/>
                    <a:ext cx="1162321" cy="298095"/>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extent cx="1073689" cy="343409"/>
          <wp:effectExtent l="0" t="0" r="0" b="0"/>
          <wp:docPr id="1073741826" name="officeArt object" descr="C:\Users\Maja Michalak\Desktop\_CDE\notatki prasowe\MIPIM 2016\Top 100 Investors\SKANSKA-orig-logo-RGB-534.jpg"/>
          <wp:cNvGraphicFramePr/>
          <a:graphic xmlns:a="http://schemas.openxmlformats.org/drawingml/2006/main">
            <a:graphicData uri="http://schemas.openxmlformats.org/drawingml/2006/picture">
              <pic:pic xmlns:pic="http://schemas.openxmlformats.org/drawingml/2006/picture">
                <pic:nvPicPr>
                  <pic:cNvPr id="1073741826" name="C:\Users\Maja Michalak\Desktop\_CDE\notatki prasowe\MIPIM 2016\Top 100 Investors\SKANSKA-orig-logo-RGB-534.jpg" descr="C:\Users\Maja Michalak\Desktop\_CDE\notatki prasowe\MIPIM 2016\Top 100 Investors\SKANSKA-orig-logo-RGB-534.jpg"/>
                  <pic:cNvPicPr>
                    <a:picLocks noChangeAspect="1"/>
                  </pic:cNvPicPr>
                </pic:nvPicPr>
                <pic:blipFill>
                  <a:blip r:embed="rId4">
                    <a:extLst/>
                  </a:blip>
                  <a:srcRect l="5819" t="6648" r="9277" b="13983"/>
                  <a:stretch>
                    <a:fillRect/>
                  </a:stretch>
                </pic:blipFill>
                <pic:spPr>
                  <a:xfrm>
                    <a:off x="0" y="0"/>
                    <a:ext cx="1073689" cy="343409"/>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377C8"/>
    <w:rsid w:val="00072D12"/>
    <w:rsid w:val="002377C8"/>
    <w:rsid w:val="005D2B60"/>
    <w:rsid w:val="00803A3C"/>
    <w:rsid w:val="00982973"/>
    <w:rsid w:val="00D007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07F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007F6"/>
    <w:rPr>
      <w:u w:val="single"/>
    </w:rPr>
  </w:style>
  <w:style w:type="paragraph" w:customStyle="1" w:styleId="Nagwek">
    <w:name w:val="Nagłówek"/>
    <w:rsid w:val="00D007F6"/>
    <w:pPr>
      <w:tabs>
        <w:tab w:val="center" w:pos="4536"/>
        <w:tab w:val="right" w:pos="9072"/>
      </w:tabs>
      <w:spacing w:line="280" w:lineRule="atLeast"/>
    </w:pPr>
    <w:rPr>
      <w:rFonts w:cs="Arial Unicode MS"/>
      <w:color w:val="000000"/>
      <w:u w:color="000000"/>
      <w:lang w:val="en-US"/>
    </w:rPr>
  </w:style>
  <w:style w:type="paragraph" w:customStyle="1" w:styleId="Normalny">
    <w:name w:val="Normalny"/>
    <w:rsid w:val="00D007F6"/>
    <w:pPr>
      <w:spacing w:after="200" w:line="276" w:lineRule="auto"/>
    </w:pPr>
    <w:rPr>
      <w:rFonts w:ascii="Calibri" w:eastAsia="Calibri" w:hAnsi="Calibri" w:cs="Calibri"/>
      <w:color w:val="000000"/>
      <w:sz w:val="22"/>
      <w:szCs w:val="22"/>
      <w:u w:color="000000"/>
    </w:rPr>
  </w:style>
  <w:style w:type="paragraph" w:customStyle="1" w:styleId="Nagwekistopka">
    <w:name w:val="Nagłówek i stopka"/>
    <w:rsid w:val="00D007F6"/>
    <w:pPr>
      <w:tabs>
        <w:tab w:val="right" w:pos="9020"/>
      </w:tabs>
    </w:pPr>
    <w:rPr>
      <w:rFonts w:ascii="Helvetica Neue" w:eastAsia="Helvetica Neue" w:hAnsi="Helvetica Neue" w:cs="Helvetica Neue"/>
      <w:color w:val="000000"/>
      <w:sz w:val="24"/>
      <w:szCs w:val="24"/>
    </w:rPr>
  </w:style>
  <w:style w:type="character" w:customStyle="1" w:styleId="Brak">
    <w:name w:val="Brak"/>
    <w:rsid w:val="00D007F6"/>
  </w:style>
  <w:style w:type="character" w:customStyle="1" w:styleId="Hyperlink0">
    <w:name w:val="Hyperlink.0"/>
    <w:basedOn w:val="Brak"/>
    <w:rsid w:val="00D007F6"/>
    <w:rPr>
      <w:rFonts w:ascii="Arial" w:eastAsia="Arial" w:hAnsi="Arial" w:cs="Arial"/>
      <w:color w:val="0000FF"/>
      <w:u w:val="single" w:color="0000FF"/>
      <w:lang w:val="en-US"/>
    </w:rPr>
  </w:style>
  <w:style w:type="character" w:customStyle="1" w:styleId="Hyperlink1">
    <w:name w:val="Hyperlink.1"/>
    <w:basedOn w:val="Brak"/>
    <w:rsid w:val="00D007F6"/>
    <w:rPr>
      <w:rFonts w:ascii="Arial" w:eastAsia="Arial" w:hAnsi="Arial" w:cs="Arial"/>
      <w:i/>
      <w:iCs/>
      <w:color w:val="0000FF"/>
      <w:sz w:val="20"/>
      <w:szCs w:val="20"/>
      <w:u w:val="single" w:color="0000FF"/>
      <w:lang w:val="en-US"/>
    </w:rPr>
  </w:style>
  <w:style w:type="paragraph" w:styleId="Textbubliny">
    <w:name w:val="Balloon Text"/>
    <w:basedOn w:val="Normln"/>
    <w:link w:val="TextbublinyChar"/>
    <w:uiPriority w:val="99"/>
    <w:semiHidden/>
    <w:unhideWhenUsed/>
    <w:rsid w:val="00982973"/>
    <w:rPr>
      <w:rFonts w:ascii="Tahoma" w:hAnsi="Tahoma" w:cs="Tahoma"/>
      <w:sz w:val="16"/>
      <w:szCs w:val="16"/>
    </w:rPr>
  </w:style>
  <w:style w:type="character" w:customStyle="1" w:styleId="TextbublinyChar">
    <w:name w:val="Text bubliny Char"/>
    <w:basedOn w:val="Standardnpsmoodstavce"/>
    <w:link w:val="Textbubliny"/>
    <w:uiPriority w:val="99"/>
    <w:semiHidden/>
    <w:rsid w:val="0098297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w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bre.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anska.pl/CEEinvestmentreport201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kanska.com/proper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6597</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Skanska</cp:lastModifiedBy>
  <cp:revision>3</cp:revision>
  <dcterms:created xsi:type="dcterms:W3CDTF">2018-10-10T14:14:00Z</dcterms:created>
  <dcterms:modified xsi:type="dcterms:W3CDTF">2018-10-15T07:57:00Z</dcterms:modified>
</cp:coreProperties>
</file>